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南银理财鼎瑞安稳一年定开2025第11期公募人民币理财产品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南银理财鼎瑞安稳一年定开2025第11期公募人民币理财产品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Z7003225000163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2025年06月19日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1,070,767,315.00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中粮信托有限责任公司,华鑫证券有限责任公司,国投泰康信托有限公司,天弘基金管理有限公司,招商基金管理有限公司,陆家嘴国际信托有限公司,景顺长城基金管理有限公司,中国对外经济贸易信托有限公司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288,934,055.19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338,035,667.38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161,873,003.38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115,318,394.52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40,428,959.69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159,941,936.38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Z30021份额净值为1.0309元，ZB30021份额净值为1.0309元，ZC30021份额净值为1.0320元，ZD30021份额净值为1.0324元，ZE30021份额净值为1.0335元，ZF30021份额净值为1.0319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98.65%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80.97%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19.03%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1.35%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ZJQTT202405170002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435,591,990.52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39.44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XJCKX202302280001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工商银行南分活期存款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279,079,481.28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ZJQTT202309270002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181,779,986.44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257052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24盐湖02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30,851,970.00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ZJQTT202302210001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外贸信托-鑫华优享2号证券投资集合资金信托计划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20,185,075.97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253891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24园发01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20,150,840.00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ZJQTT202210190001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招商基金-安鑫2号集合资产管理计划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20,149,674.24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ZJQTT202406260001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华鑫证券鑫鑫相印1号集合资产管理计划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20,053,609.04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032680295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26嵊州城南PPN001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20,023,960.00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ZJQTT202603170001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天弘基金弘丰1号集合资产管理计划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20,019,876.76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0101080000001556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南银理财鼎瑞安稳一年定开2025第11期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216431907.16</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220000000.00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231189.64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55381.79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