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南银理财鼎瑞安稳一年定开2025第21期公募人民币理财产品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南银理财鼎瑞安稳一年定开2025第21期公募人民币理财产品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Z7003225000308</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2025年09月18日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940,086,618.00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华鑫证券有限责任公司,国投泰康信托有限公司,天弘基金管理有限公司,广发基金管理有限公司,招商基金管理有限公司,紫金信托有限责任公司,景顺长城基金管理有限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206,341,418.27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ZB30031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300,974,800.03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ZC30031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36,106,832.03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ZD30031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68,025,413.82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ZE30031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41,501,987.70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ZF30031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95,517,836.90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ZG30031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215,851,397.07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Z30031份额净值为1.0253元，ZB30031份额净值为1.0253元，ZC30031份额净值为1.0256元，ZD30031份额净值为1.0260元，ZE30031份额净值为1.0268元，ZF30031份额净值为1.0260元，ZG30031份额净值为1.0264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83.67%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16.33%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438,902,831.00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45.51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ZJQTT202507100001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218,068,735.06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22.61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153,923,501.23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15.96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44,223,828.78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102481249</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24鼎力投资MTN001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21,386,140.00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253891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24园发01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20,150,840.00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000037</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广发景宁纯债债券A</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20,066,810.04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ZJQTT202302210001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外贸信托-鑫华优享2号证券投资集合资金信托计划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10,092,537.98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ZJQTT202210190001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招商基金-安鑫2号集合资产管理计划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10,074,837.11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ZJQTT202406260001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华鑫证券鑫鑫相印1号集合资产管理计划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10,046,038.75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0101070000001726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南银理财鼎瑞安稳一年定开2025第21期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143121.79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4414.04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48331.25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其他服务费用</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