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1CEF" w:rsidRDefault="00151CEF">
      <w:pPr>
        <w:spacing w:before="240" w:after="72" w:line="360" w:lineRule="auto"/>
        <w:rPr>
          <w:rFonts w:asciiTheme="minorEastAsia" w:eastAsiaTheme="minorEastAsia" w:hAnsiTheme="minorEastAsia"/>
        </w:rPr>
      </w:pPr>
    </w:p>
    <w:p w:rsidR="00151CEF" w:rsidRDefault="00151CEF">
      <w:pPr>
        <w:spacing w:before="240" w:after="72" w:line="360" w:lineRule="auto"/>
        <w:rPr>
          <w:rFonts w:asciiTheme="minorEastAsia" w:eastAsiaTheme="minorEastAsia" w:hAnsiTheme="minorEastAsia"/>
        </w:rPr>
      </w:pPr>
    </w:p>
    <w:p w:rsidR="00151CEF" w:rsidRDefault="00151CEF">
      <w:pPr>
        <w:spacing w:before="240" w:after="72" w:line="360" w:lineRule="auto"/>
        <w:rPr>
          <w:rFonts w:asciiTheme="minorEastAsia" w:eastAsiaTheme="minorEastAsia" w:hAnsiTheme="minorEastAsia"/>
        </w:rPr>
      </w:pPr>
    </w:p>
    <w:p w:rsidR="00151CEF" w:rsidRDefault="003E5C34">
      <w:pPr>
        <w:snapToGrid w:val="0"/>
        <w:spacing w:before="240" w:after="72" w:line="360" w:lineRule="auto"/>
        <w:jc w:val="center"/>
        <w:rPr>
          <w:rFonts w:ascii="方正黑体简体" w:eastAsia="方正黑体简体" w:hAnsi="Calibri"/>
          <w:sz w:val="36"/>
        </w:rPr>
      </w:pPr>
      <w:r>
        <w:rPr>
          <w:rFonts w:ascii="方正黑体简体" w:eastAsia="方正黑体简体" w:hAnsi="Calibri" w:hint="eastAsia"/>
          <w:sz w:val="36"/>
        </w:rPr>
        <w:t>南银理财鼎瑞安稳一年定开2025第7期公募人民币理财产品</w:t>
      </w:r>
    </w:p>
    <w:p w:rsidR="00151CEF" w:rsidRDefault="003E5C34">
      <w:pPr>
        <w:snapToGrid w:val="0"/>
        <w:spacing w:before="240" w:after="72" w:line="360" w:lineRule="auto"/>
        <w:jc w:val="center"/>
        <w:rPr>
          <w:rFonts w:ascii="方正黑体简体" w:eastAsia="方正黑体简体" w:hAnsi="Calibri"/>
          <w:sz w:val="36"/>
        </w:rPr>
      </w:pPr>
      <w:r>
        <w:rPr>
          <w:rFonts w:ascii="方正黑体简体" w:eastAsia="方正黑体简体" w:hAnsi="Calibri" w:hint="eastAsia"/>
          <w:sz w:val="36"/>
        </w:rPr>
        <w:t>2026</w:t>
      </w:r>
      <w:r>
        <w:rPr>
          <w:rFonts w:ascii="方正黑体简体" w:eastAsia="方正黑体简体" w:hAnsi="Calibri" w:hint="eastAsia"/>
          <w:sz w:val="36"/>
        </w:rPr>
        <w:t>年第</w:t>
      </w:r>
      <w:r>
        <w:rPr>
          <w:rFonts w:ascii="方正黑体简体" w:eastAsia="方正黑体简体" w:hAnsi="Calibri" w:hint="eastAsia"/>
          <w:sz w:val="36"/>
        </w:rPr>
        <w:t>2</w:t>
      </w:r>
      <w:r>
        <w:rPr>
          <w:rFonts w:ascii="方正黑体简体" w:eastAsia="方正黑体简体" w:hAnsi="Calibri" w:hint="eastAsia"/>
          <w:sz w:val="36"/>
        </w:rPr>
        <w:t>季度报告</w:t>
      </w:r>
    </w:p>
    <w:p w:rsidR="00151CEF" w:rsidRDefault="00151CEF">
      <w:pPr>
        <w:spacing w:before="240" w:after="72" w:line="360" w:lineRule="auto"/>
        <w:jc w:val="center"/>
        <w:rPr>
          <w:rFonts w:ascii="方正黑体简体" w:eastAsia="方正黑体简体"/>
          <w:sz w:val="36"/>
          <w:szCs w:val="36"/>
        </w:rPr>
      </w:pPr>
    </w:p>
    <w:p w:rsidR="00151CEF" w:rsidRDefault="00151CEF">
      <w:pPr>
        <w:spacing w:before="240" w:after="72" w:line="360" w:lineRule="auto"/>
        <w:jc w:val="center"/>
        <w:rPr>
          <w:rFonts w:ascii="方正黑体简体" w:eastAsia="方正黑体简体"/>
          <w:sz w:val="36"/>
          <w:szCs w:val="36"/>
        </w:rPr>
      </w:pPr>
    </w:p>
    <w:p w:rsidR="00151CEF" w:rsidRDefault="00151CEF">
      <w:pPr>
        <w:spacing w:before="240" w:after="72" w:line="360" w:lineRule="auto"/>
        <w:jc w:val="center"/>
        <w:rPr>
          <w:rFonts w:ascii="方正黑体简体" w:eastAsia="方正黑体简体"/>
          <w:sz w:val="36"/>
          <w:szCs w:val="36"/>
        </w:rPr>
      </w:pPr>
    </w:p>
    <w:p w:rsidR="00151CEF" w:rsidRDefault="00151CEF">
      <w:pPr>
        <w:spacing w:before="240" w:after="72" w:line="360" w:lineRule="auto"/>
        <w:jc w:val="center"/>
        <w:rPr>
          <w:rFonts w:ascii="方正黑体简体" w:eastAsia="方正黑体简体"/>
          <w:sz w:val="36"/>
          <w:szCs w:val="36"/>
        </w:rPr>
      </w:pPr>
    </w:p>
    <w:p w:rsidR="00151CEF" w:rsidRDefault="003E5C34">
      <w:pPr>
        <w:snapToGrid w:val="0"/>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产品管理人</w:t>
      </w:r>
      <w:r>
        <w:rPr>
          <w:rFonts w:ascii="方正仿宋简体" w:eastAsia="方正仿宋简体" w:hint="eastAsia"/>
          <w:b/>
          <w:sz w:val="24"/>
          <w:szCs w:val="24"/>
        </w:rPr>
        <w:t>:南银理财有限责任公司</w:t>
      </w:r>
    </w:p>
    <w:p w:rsidR="00151CEF" w:rsidRDefault="003E5C34">
      <w:pPr>
        <w:snapToGrid w:val="0"/>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产品托管人</w:t>
      </w:r>
      <w:r>
        <w:rPr>
          <w:rFonts w:ascii="方正仿宋简体" w:eastAsia="方正仿宋简体" w:hint="eastAsia"/>
          <w:b/>
          <w:sz w:val="24"/>
          <w:szCs w:val="24"/>
        </w:rPr>
        <w:t>:南京银行股份有限公司</w:t>
      </w:r>
    </w:p>
    <w:p w:rsidR="00151CEF" w:rsidRDefault="00151CEF">
      <w:pPr>
        <w:spacing w:before="240" w:after="72" w:line="360" w:lineRule="auto"/>
        <w:rPr>
          <w:rFonts w:ascii="方正黑体简体" w:eastAsia="方正黑体简体"/>
          <w:sz w:val="36"/>
          <w:szCs w:val="36"/>
        </w:rPr>
      </w:pPr>
    </w:p>
    <w:p w:rsidR="00151CEF" w:rsidRDefault="00151CEF">
      <w:pPr>
        <w:spacing w:before="240" w:after="72" w:line="360" w:lineRule="auto"/>
        <w:rPr>
          <w:rFonts w:ascii="方正黑体简体" w:eastAsia="方正黑体简体"/>
          <w:sz w:val="36"/>
          <w:szCs w:val="36"/>
        </w:rPr>
      </w:pPr>
    </w:p>
    <w:p w:rsidR="00151CEF" w:rsidRDefault="003E5C34">
      <w:pPr>
        <w:widowControl/>
        <w:spacing w:before="240" w:afterLines="0" w:line="360" w:lineRule="auto"/>
        <w:jc w:val="left"/>
        <w:rPr>
          <w:rFonts w:ascii="方正仿宋_GBK" w:eastAsia="方正仿宋_GBK" w:hAnsi="Calibri"/>
          <w:b/>
        </w:rPr>
      </w:pPr>
      <w:r>
        <w:rPr>
          <w:rFonts w:ascii="方正仿宋_GBK" w:eastAsia="方正仿宋_GBK" w:hAnsi="Calibri"/>
          <w:b/>
        </w:rPr>
        <w:br w:type="page"/>
      </w: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lastRenderedPageBreak/>
        <w:t>§</w:t>
      </w:r>
      <w:r>
        <w:rPr>
          <w:rFonts w:ascii="方正仿宋简体" w:eastAsia="方正仿宋简体" w:hint="eastAsia"/>
          <w:b/>
          <w:sz w:val="24"/>
          <w:szCs w:val="24"/>
        </w:rPr>
        <w:t xml:space="preserve">1 </w:t>
      </w:r>
      <w:r>
        <w:rPr>
          <w:rFonts w:ascii="方正仿宋简体" w:eastAsia="方正仿宋简体" w:hint="eastAsia"/>
          <w:b/>
          <w:sz w:val="24"/>
          <w:szCs w:val="24"/>
        </w:rPr>
        <w:t>产品概况</w:t>
      </w:r>
    </w:p>
    <w:tbl>
      <w:tblPr>
        <w:tblpPr w:leftFromText="180" w:rightFromText="180" w:vertAnchor="text" w:tblpY="1"/>
        <w:tblOverlap w:val="never"/>
        <w:tblW w:w="88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2719"/>
        <w:gridCol w:w="6178"/>
      </w:tblGrid>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产品全称</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南银理财鼎瑞安稳一年定开2025第7期公募人民币理财产品</w:t>
            </w:r>
          </w:p>
        </w:tc>
      </w:tr>
      <w:tr w:rsidR="00151CEF">
        <w:trPr>
          <w:trHeight w:val="1300"/>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产品登记编码</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Z7003225000113</w:t>
            </w:r>
            <w:r>
              <w:rPr>
                <w:rFonts w:ascii="方正仿宋简体" w:eastAsia="方正仿宋简体" w:hint="eastAsia"/>
                <w:sz w:val="24"/>
                <w:szCs w:val="24"/>
              </w:rPr>
              <w:t>（投资者可依据该编码在中国理财网</w:t>
            </w:r>
            <w:r>
              <w:rPr>
                <w:rFonts w:ascii="方正仿宋简体" w:eastAsia="方正仿宋简体" w:hint="eastAsia"/>
                <w:sz w:val="24"/>
                <w:szCs w:val="24"/>
              </w:rPr>
              <w:t>www.chinawealth.com.cn</w:t>
            </w:r>
            <w:r>
              <w:rPr>
                <w:rFonts w:ascii="方正仿宋简体" w:eastAsia="方正仿宋简体" w:hint="eastAsia"/>
                <w:sz w:val="24"/>
                <w:szCs w:val="24"/>
              </w:rPr>
              <w:t>查询理财产品相关信息）</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产品运作方式</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开放式净值型</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产品成立日</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2025年05月13日</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报告期末产品份额总额</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1,368,901,910.00</w:t>
            </w:r>
            <w:r>
              <w:rPr>
                <w:rFonts w:ascii="方正仿宋简体" w:eastAsia="方正仿宋简体" w:hint="eastAsia"/>
                <w:sz w:val="24"/>
                <w:szCs w:val="24"/>
              </w:rPr>
              <w:t>份</w:t>
            </w:r>
          </w:p>
        </w:tc>
      </w:tr>
      <w:tr w:rsidR="00151CEF">
        <w:trPr>
          <w:trHeight w:val="688"/>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合作机构</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中粮信托有限责任公司,中诚信托有限责任公司,国投泰康信托有限公司,紫金信托有限责任公司,鑫元基金管理有限公司,景顺长城基金管理有限公司</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产品管理人</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南银理财有限责任公司</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产品托管人</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南京银行股份有限公司</w:t>
            </w:r>
          </w:p>
        </w:tc>
      </w:tr>
    </w:tbl>
    <w:p w:rsidR="00151CEF" w:rsidRDefault="00151CEF">
      <w:pPr>
        <w:spacing w:before="240" w:after="72" w:line="360" w:lineRule="auto"/>
        <w:rPr>
          <w:rFonts w:ascii="方正仿宋_GBK" w:eastAsia="方正仿宋_GBK" w:hAnsi="宋体" w:cs="宋体"/>
          <w:kern w:val="0"/>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2  </w:t>
      </w:r>
      <w:r>
        <w:rPr>
          <w:rFonts w:ascii="方正仿宋简体" w:eastAsia="方正仿宋简体" w:hint="eastAsia"/>
          <w:b/>
          <w:sz w:val="24"/>
          <w:szCs w:val="24"/>
        </w:rPr>
        <w:t>主要财务指标</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2.1 </w:t>
      </w:r>
      <w:r>
        <w:rPr>
          <w:rFonts w:ascii="方正仿宋简体" w:eastAsia="方正仿宋简体" w:hint="eastAsia"/>
          <w:b/>
          <w:sz w:val="24"/>
          <w:szCs w:val="24"/>
        </w:rPr>
        <w:t>主要财务指标</w:t>
      </w:r>
    </w:p>
    <w:p w:rsidR="00151CEF" w:rsidRDefault="003E5C34">
      <w:pPr>
        <w:spacing w:before="240" w:after="72" w:line="360" w:lineRule="auto"/>
        <w:jc w:val="right"/>
        <w:rPr>
          <w:rFonts w:ascii="方正仿宋简体" w:eastAsia="方正仿宋简体"/>
          <w:sz w:val="24"/>
          <w:szCs w:val="24"/>
        </w:rPr>
      </w:pPr>
      <w:r>
        <w:rPr>
          <w:rFonts w:ascii="方正仿宋简体" w:eastAsia="方正仿宋简体" w:hint="eastAsia"/>
          <w:sz w:val="24"/>
          <w:szCs w:val="24"/>
        </w:rPr>
        <w:t>单位：人民币元</w:t>
      </w:r>
    </w:p>
    <w:tbl>
      <w:tblPr>
        <w:tblpPr w:leftFromText="180" w:rightFromText="180" w:vertAnchor="text" w:tblpXSpec="center" w:tblpY="1"/>
        <w:tblOverlap w:val="neve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1838"/>
        <w:gridCol w:w="2693"/>
        <w:gridCol w:w="2410"/>
        <w:gridCol w:w="2126"/>
      </w:tblGrid>
      <w:tr w:rsidR="00151CEF">
        <w:trPr>
          <w:trHeight w:val="699"/>
          <w:jc w:val="center"/>
        </w:trPr>
        <w:tc>
          <w:tcPr>
            <w:tcW w:w="1838"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内部销售代码</w:t>
            </w:r>
          </w:p>
        </w:tc>
        <w:tc>
          <w:tcPr>
            <w:tcW w:w="7229" w:type="dxa"/>
            <w:gridSpan w:val="3"/>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w:t>
            </w:r>
            <w:r>
              <w:rPr>
                <w:rFonts w:ascii="方正仿宋简体" w:eastAsia="方正仿宋简体" w:hint="eastAsia"/>
                <w:sz w:val="24"/>
                <w:szCs w:val="24"/>
              </w:rPr>
              <w:t>2026年04月01日 - 2026年06月30日</w:t>
            </w:r>
            <w:r>
              <w:rPr>
                <w:rFonts w:ascii="方正仿宋简体" w:eastAsia="方正仿宋简体" w:hint="eastAsia"/>
                <w:sz w:val="24"/>
                <w:szCs w:val="24"/>
              </w:rPr>
              <w:t>）</w:t>
            </w:r>
          </w:p>
        </w:tc>
      </w:tr>
      <w:tr w:rsidR="00151CEF">
        <w:trPr>
          <w:trHeight w:val="1697"/>
          <w:jc w:val="center"/>
        </w:trPr>
        <w:tc>
          <w:tcPr>
            <w:tcW w:w="1838" w:type="dxa"/>
            <w:vMerge/>
            <w:vAlign w:val="center"/>
          </w:tcPr>
          <w:p w:rsidR="00151CEF" w:rsidRDefault="00151CEF" w:rsidP="008B1379">
            <w:pPr>
              <w:spacing w:beforeLines="20" w:afterLines="20"/>
              <w:jc w:val="center"/>
              <w:rPr>
                <w:rFonts w:ascii="方正仿宋简体" w:eastAsia="方正仿宋简体"/>
                <w:sz w:val="24"/>
                <w:szCs w:val="24"/>
              </w:rPr>
            </w:pPr>
          </w:p>
        </w:tc>
        <w:tc>
          <w:tcPr>
            <w:tcW w:w="2693"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1.</w:t>
            </w:r>
            <w:r>
              <w:rPr>
                <w:rFonts w:ascii="方正仿宋简体" w:eastAsia="方正仿宋简体" w:hint="eastAsia"/>
                <w:sz w:val="24"/>
                <w:szCs w:val="24"/>
              </w:rPr>
              <w:t>期末产品最后一个市场交易日资产净值</w:t>
            </w:r>
          </w:p>
        </w:tc>
        <w:tc>
          <w:tcPr>
            <w:tcW w:w="241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2.</w:t>
            </w:r>
            <w:r>
              <w:rPr>
                <w:rFonts w:ascii="方正仿宋简体" w:eastAsia="方正仿宋简体" w:hint="eastAsia"/>
                <w:sz w:val="24"/>
                <w:szCs w:val="24"/>
              </w:rPr>
              <w:t>期末产品最后一个市场交易日份额净值</w:t>
            </w:r>
          </w:p>
        </w:tc>
        <w:tc>
          <w:tcPr>
            <w:tcW w:w="2126"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3.</w:t>
            </w:r>
            <w:r>
              <w:rPr>
                <w:rFonts w:ascii="方正仿宋简体" w:eastAsia="方正仿宋简体" w:hint="eastAsia"/>
                <w:sz w:val="24"/>
                <w:szCs w:val="24"/>
              </w:rPr>
              <w:t>期末产品最后一个市场交易日份额累计净值</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NYAW000898</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150,397,443.97</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1.0028</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1.0028</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NYAW000899</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185,362,791.24</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1.0029</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1.0029</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NYAW000900</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284,019,430.35</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1.0029</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1.0029</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NYAW000901</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107,393,099.93</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1.0030</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1.0030</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NYAW000902</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124,479,894.46</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1.0029</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1.0029</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NYAW000903</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252,538,006.04</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1.0030</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1.0030</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NYAW000904</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72,386,901.26</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1.0030</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1.0030</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NYAW000906</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8,264,408.02</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1.0028</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1.0028</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NYAW000907</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8,252,665.42</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1.0028</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1.0028</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NYAW000908</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669,137.57</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1.0030</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1.0030</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Z30017</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179,177,551.33</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1.0028</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1.0341</w:t>
            </w:r>
          </w:p>
        </w:tc>
      </w:tr>
    </w:tbl>
    <w:p w:rsidR="00151CEF" w:rsidRDefault="003E5C34">
      <w:pPr>
        <w:pStyle w:val="biaogeleft"/>
        <w:spacing w:before="240" w:after="72" w:line="360" w:lineRule="auto"/>
        <w:ind w:left="0"/>
        <w:rPr>
          <w:rFonts w:ascii="方正仿宋简体" w:eastAsia="方正仿宋简体" w:hAnsi="Times New Roman" w:cs="Times New Roman"/>
          <w:kern w:val="2"/>
        </w:rPr>
      </w:pPr>
      <w:r>
        <w:rPr>
          <w:rFonts w:ascii="方正仿宋简体" w:eastAsia="方正仿宋简体" w:hAnsi="Times New Roman" w:cs="Times New Roman" w:hint="eastAsia"/>
          <w:kern w:val="2"/>
        </w:rPr>
        <w:t>注：产品净值可能存在未扣除管理人及投资合作机构业绩报酬、赎回费等费用（如有）的情况，实际收益以兑付为准。</w:t>
      </w:r>
    </w:p>
    <w:p w:rsidR="00151CEF" w:rsidRDefault="00151CEF">
      <w:pPr>
        <w:spacing w:before="240" w:after="72" w:line="360" w:lineRule="auto"/>
        <w:rPr>
          <w:rFonts w:ascii="方正仿宋_GBK" w:eastAsia="方正仿宋_GBK"/>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3  </w:t>
      </w:r>
      <w:r>
        <w:rPr>
          <w:rFonts w:ascii="方正仿宋简体" w:eastAsia="方正仿宋简体" w:hint="eastAsia"/>
          <w:b/>
          <w:sz w:val="24"/>
          <w:szCs w:val="24"/>
        </w:rPr>
        <w:t>管理人报告</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3.1 </w:t>
      </w:r>
      <w:r>
        <w:rPr>
          <w:rFonts w:ascii="方正仿宋简体" w:eastAsia="方正仿宋简体" w:hint="eastAsia"/>
          <w:b/>
          <w:sz w:val="24"/>
          <w:szCs w:val="24"/>
        </w:rPr>
        <w:t>报告期内产品的投资策略和运作分析</w:t>
      </w:r>
    </w:p>
    <w:p w:rsidR="00151CEF" w:rsidRDefault="003E5C34">
      <w:pPr>
        <w:spacing w:before="240" w:after="72" w:line="360" w:lineRule="auto"/>
        <w:rPr>
          <w:rFonts w:ascii="方正仿宋简体" w:eastAsia="方正仿宋简体"/>
          <w:sz w:val="24"/>
          <w:szCs w:val="24"/>
        </w:rPr>
      </w:pPr>
      <w:r>
        <w:rPr>
          <w:rFonts w:ascii="方正仿宋简体" w:eastAsia="方正仿宋简体" w:hint="eastAsia"/>
          <w:sz w:val="24"/>
          <w:szCs w:val="24"/>
        </w:rPr>
        <w:t>  2026年二季度债市整体呈现震荡下行走势，中长端表现好于短端，信用好于利率。经济基本面温和修复，制造业PMI季末重回扩张区间，外需延续韧性但内需修复力度偏弱，地产链持续筑底；CPI中枢抬升至1.2%，PPI持续上行，输入性通胀约束宽松空间，工业企业盈利增速小幅回落。央行维持适度宽松基调，持续投放流动性对冲缴税、季末考核扰动，“削峰平谷”效果较好，同时增加隔夜OMO操作，呵护之余严防资金空转，引导回流实体，资金中枢平稳运行。海外端中东地缘冲突反复扰动油价，美联储降息预期持续延后，美债利率高位震荡，内外利差形成压制。市场表现，10年期国债区间下行9BP至1.74%，信用债整体下行10-30bp不等。</w:t>
        <w:br w:type="textWrapping" w:clear="all"/>
      </w:r>
      <w:r>
        <w:rPr>
          <w:rFonts w:ascii="方正仿宋简体" w:eastAsia="方正仿宋简体" w:hint="eastAsia"/>
          <w:sz w:val="24"/>
          <w:szCs w:val="24"/>
        </w:rPr>
        <w:t>  展望三季度，债市大概率将维持窄幅震荡格局。国内经济修复节奏平缓，资产荒底层逻辑未发生改变；三季度政府债、二永债供给进入全年高峰，叠加PPI高位运行，长端利率下行空间受限。央行预计维持合理充裕，呵护市场流动性。操作上以票息持有为主，逢利率调整窗口把握波段机会，积极配置仍有票息价值的3-5年信用债品种。</w:t>
        <w:br w:type="textWrapping" w:clear="all"/>
      </w:r>
      <w:r>
        <w:rPr>
          <w:rFonts w:ascii="方正仿宋简体" w:eastAsia="方正仿宋简体" w:hint="eastAsia"/>
          <w:sz w:val="24"/>
          <w:szCs w:val="24"/>
        </w:rPr>
        <w:t>  产品始终围绕稳健回报的收益目标进行操作，通过持有信用资质较好、绝对收益相对较高的信用债作为底仓，获取稳定可靠的票息收益。</w:t>
      </w:r>
      <w:r>
        <w:rPr>
          <w:rFonts w:ascii="方正仿宋简体" w:eastAsia="方正仿宋简体" w:hint="eastAsia"/>
          <w:sz w:val="24"/>
          <w:szCs w:val="24"/>
        </w:rPr>
        <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3.2 </w:t>
      </w:r>
      <w:r>
        <w:rPr>
          <w:rFonts w:ascii="方正仿宋简体" w:eastAsia="方正仿宋简体" w:hint="eastAsia"/>
          <w:b/>
          <w:sz w:val="24"/>
          <w:szCs w:val="24"/>
        </w:rPr>
        <w:t>报告期内产品的流动性风险分析</w:t>
      </w:r>
    </w:p>
    <w:p w:rsidR="00151CEF" w:rsidRDefault="003E5C34">
      <w:pPr>
        <w:spacing w:before="240" w:after="72" w:line="360" w:lineRule="auto"/>
        <w:rPr>
          <w:rFonts w:ascii="方正仿宋简体" w:eastAsia="方正仿宋简体"/>
          <w:sz w:val="24"/>
          <w:szCs w:val="24"/>
        </w:rPr>
      </w:pPr>
      <w:r>
        <w:rPr>
          <w:rFonts w:ascii="方正仿宋简体" w:eastAsia="方正仿宋简体"/>
          <w:sz w:val="24"/>
          <w:szCs w:val="24"/>
        </w:rPr>
        <w:t>  本产品是封闭式产品，运作稳健，始终坚持谨慎的流动性管理原则，在报告期内，严格匹配资产久期与产品封闭周期。下阶段，产品将继续维持合理的流动性资产比例，做好负债端现金流的跟踪与研判。</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3.3 </w:t>
      </w:r>
      <w:r>
        <w:rPr>
          <w:rFonts w:ascii="方正仿宋简体" w:eastAsia="方正仿宋简体" w:hint="eastAsia"/>
          <w:b/>
          <w:sz w:val="24"/>
          <w:szCs w:val="24"/>
        </w:rPr>
        <w:t>报告期内产品的业绩表现</w:t>
      </w:r>
    </w:p>
    <w:p w:rsidR="00151CEF" w:rsidRDefault="003E5C34">
      <w:pPr>
        <w:spacing w:before="240" w:after="72" w:line="360" w:lineRule="auto"/>
        <w:ind w:firstLineChars="200" w:firstLine="480"/>
        <w:rPr>
          <w:rFonts w:ascii="方正仿宋简体" w:eastAsia="方正仿宋简体"/>
          <w:sz w:val="24"/>
          <w:szCs w:val="24"/>
        </w:rPr>
      </w:pPr>
      <w:r>
        <w:rPr>
          <w:rFonts w:ascii="方正仿宋简体" w:eastAsia="方正仿宋简体" w:hint="eastAsia"/>
          <w:sz w:val="24"/>
          <w:szCs w:val="24"/>
        </w:rPr>
        <w:t>截至报告期末，本产品</w:t>
      </w:r>
      <w:r>
        <w:rPr>
          <w:rFonts w:ascii="方正仿宋简体" w:eastAsia="方正仿宋简体" w:hint="eastAsia"/>
          <w:sz w:val="24"/>
          <w:szCs w:val="24"/>
        </w:rPr>
        <w:t>NYAW000898份额净值为1.0028元，NYAW000899份额净值为1.0029元，NYAW000900份额净值为1.0029元，NYAW000901份额净值为1.0030元，NYAW000902份额净值为1.0029元，NYAW000903份额净值为1.0030元，NYAW000904份额净值为1.0030元，NYAW000906份额净值为1.0028元，NYAW000907份额净值为1.0028元，NYAW000908份额净值为1.0030元，Z30017份额净值为1.0028</w:t>
      </w:r>
      <w:r>
        <w:rPr>
          <w:rFonts w:ascii="方正仿宋简体" w:eastAsia="方正仿宋简体" w:hint="eastAsia"/>
          <w:sz w:val="24"/>
          <w:szCs w:val="24"/>
        </w:rPr>
        <w:t>元。</w:t>
      </w:r>
    </w:p>
    <w:p w:rsidR="00151CEF" w:rsidRDefault="00151CEF">
      <w:pPr>
        <w:spacing w:before="240" w:after="72" w:line="360" w:lineRule="auto"/>
        <w:rPr>
          <w:rFonts w:ascii="方正仿宋_GBK" w:eastAsia="方正仿宋_GBK" w:hAnsi="宋体"/>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4  </w:t>
      </w:r>
      <w:r>
        <w:rPr>
          <w:rFonts w:ascii="方正仿宋简体" w:eastAsia="方正仿宋简体" w:hint="eastAsia"/>
          <w:b/>
          <w:sz w:val="24"/>
          <w:szCs w:val="24"/>
        </w:rPr>
        <w:t>投资组合报告</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4.1 </w:t>
      </w:r>
      <w:r>
        <w:rPr>
          <w:rFonts w:ascii="方正仿宋简体" w:eastAsia="方正仿宋简体" w:hint="eastAsia"/>
          <w:b/>
          <w:sz w:val="24"/>
          <w:szCs w:val="24"/>
        </w:rPr>
        <w:t>报告期末产品资产组合情况</w:t>
      </w:r>
    </w:p>
    <w:tbl>
      <w:tblPr>
        <w:tblpPr w:leftFromText="180" w:rightFromText="180" w:vertAnchor="text" w:tblpXSpec="center" w:tblpY="1"/>
        <w:tblOverlap w:val="never"/>
        <w:tblW w:w="88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745"/>
        <w:gridCol w:w="1859"/>
        <w:gridCol w:w="3002"/>
        <w:gridCol w:w="3289"/>
      </w:tblGrid>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资产类别</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穿透前占总资产比例</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穿透后占总资产比例</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lastRenderedPageBreak/>
              <w:t>1</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固定收益类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99.01%</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88.89%</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2</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权益类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11.11%</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3</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商品及金融衍生品类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4</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混合类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0.99%</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5</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合计</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100.00%</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100.00%</w:t>
            </w:r>
          </w:p>
        </w:tc>
      </w:tr>
    </w:tbl>
    <w:p w:rsidR="00151CEF" w:rsidRDefault="00151CEF">
      <w:pPr>
        <w:spacing w:before="240" w:after="72" w:line="360" w:lineRule="auto"/>
        <w:rPr>
          <w:rFonts w:ascii="方正仿宋_GBK" w:eastAsia="方正仿宋_GBK"/>
          <w:sz w:val="24"/>
          <w:szCs w:val="24"/>
        </w:rPr>
      </w:pP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4.2 </w:t>
      </w:r>
      <w:r>
        <w:rPr>
          <w:rFonts w:ascii="方正仿宋简体" w:eastAsia="方正仿宋简体" w:hint="eastAsia"/>
          <w:b/>
          <w:sz w:val="24"/>
          <w:szCs w:val="24"/>
        </w:rPr>
        <w:t>报告期末按公允价值占产品资产净值比例大小排序的前十名资产投资明细</w:t>
      </w:r>
    </w:p>
    <w:tbl>
      <w:tblPr>
        <w:tblpPr w:leftFromText="180" w:rightFromText="180" w:vertAnchor="text" w:tblpXSpec="center" w:tblpY="1"/>
        <w:tblOverlap w:val="never"/>
        <w:tblW w:w="89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750"/>
        <w:gridCol w:w="1581"/>
        <w:gridCol w:w="2712"/>
        <w:gridCol w:w="2052"/>
        <w:gridCol w:w="1807"/>
      </w:tblGrid>
      <w:tr w:rsidR="00151CEF">
        <w:trPr>
          <w:trHeight w:val="1233"/>
          <w:jc w:val="center"/>
        </w:trPr>
        <w:tc>
          <w:tcPr>
            <w:tcW w:w="75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581"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代码</w:t>
            </w:r>
          </w:p>
        </w:tc>
        <w:tc>
          <w:tcPr>
            <w:tcW w:w="2712"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名称</w:t>
            </w:r>
          </w:p>
        </w:tc>
        <w:tc>
          <w:tcPr>
            <w:tcW w:w="2052"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公允价值（元）</w:t>
            </w:r>
          </w:p>
        </w:tc>
        <w:tc>
          <w:tcPr>
            <w:tcW w:w="180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占产品资产净值比例（％）</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ZJQTT202308040001</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中粮信托-鼎兴3号集合资金信托计划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449,179,215.88</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32.72</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ZJQTT202507100001</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中诚信托-日日升8号集合资金信托计划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211,606,592.22</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15.41</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ZJQTT202306200001</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鑫元基金-鑫安利得63号集合资产管理计划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170,282,053.64</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12.40</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ZJQTT202412040001</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紫金信托合盛2号集合资金信托计划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136,899,999.99</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9.97</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5</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ZJQTT202311240021</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国投泰康信托福佳4号集合资金信托计划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77,103,623.59</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5.62</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6</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282796</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26南浔01</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29,944,200.00</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2.18</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7</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ZJQTT202112280001</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景顺长城南景悦享1号集合资产管理计划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29,795,709.91</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2.17</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8</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282698</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26浦水01</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25,070,400.00</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1.83</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9</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102485099</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24海鸿投资MTN002</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20,555,320.00</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1.50</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102501360</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25海发集团MTN002</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20,452,420.00</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1.49</w:t>
            </w:r>
          </w:p>
        </w:tc>
      </w:tr>
    </w:tbl>
    <w:p w:rsidR="00151CEF" w:rsidRDefault="00151CEF">
      <w:pPr>
        <w:spacing w:before="240" w:after="72" w:line="360" w:lineRule="auto"/>
        <w:rPr>
          <w:rFonts w:ascii="方正仿宋_GBK" w:eastAsia="方正仿宋_GBK" w:hAnsi="宋体" w:cs="宋体"/>
          <w:sz w:val="24"/>
          <w:szCs w:val="24"/>
          <w:shd w:val="clear" w:color="auto" w:fill="FFFFFF"/>
        </w:rPr>
      </w:pP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4.3</w:t>
      </w:r>
      <w:r>
        <w:rPr>
          <w:rFonts w:ascii="方正仿宋简体" w:eastAsia="方正仿宋简体" w:hint="eastAsia"/>
          <w:b/>
          <w:sz w:val="24"/>
          <w:szCs w:val="24"/>
        </w:rPr>
        <w:t>报告期末非标准化债权类资产明细</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383"/>
        <w:gridCol w:w="1271"/>
        <w:gridCol w:w="876"/>
      </w:tblGrid>
      <w:tr w:rsidR="00151CEF">
        <w:trPr>
          <w:trHeight w:val="1078"/>
          <w:jc w:val="center"/>
        </w:trPr>
        <w:tc>
          <w:tcPr>
            <w:tcW w:w="87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融资客户</w:t>
            </w:r>
          </w:p>
        </w:tc>
        <w:tc>
          <w:tcPr>
            <w:tcW w:w="127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项目名称</w:t>
            </w:r>
          </w:p>
        </w:tc>
        <w:tc>
          <w:tcPr>
            <w:tcW w:w="154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剩余融资期限（</w:t>
            </w:r>
            <w:r>
              <w:rPr>
                <w:rFonts w:ascii="方正仿宋简体" w:eastAsia="方正仿宋简体"/>
                <w:sz w:val="24"/>
                <w:szCs w:val="24"/>
              </w:rPr>
              <w:t>天）</w:t>
            </w:r>
          </w:p>
        </w:tc>
        <w:tc>
          <w:tcPr>
            <w:tcW w:w="1383"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到期收益分配</w:t>
            </w:r>
          </w:p>
        </w:tc>
        <w:tc>
          <w:tcPr>
            <w:tcW w:w="1271"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交易结构</w:t>
            </w:r>
          </w:p>
        </w:tc>
        <w:tc>
          <w:tcPr>
            <w:tcW w:w="876"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风险状况</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3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271"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87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r>
    </w:tbl>
    <w:p w:rsidR="00151CEF" w:rsidRDefault="00151CEF">
      <w:pPr>
        <w:spacing w:before="240" w:after="72" w:line="360" w:lineRule="auto"/>
        <w:rPr>
          <w:rFonts w:ascii="方正仿宋_GBK" w:eastAsia="方正仿宋_GBK" w:hAnsi="宋体" w:cs="宋体"/>
          <w:sz w:val="24"/>
          <w:szCs w:val="24"/>
          <w:shd w:val="clear" w:color="auto" w:fill="FFFFFF"/>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5 </w:t>
      </w:r>
      <w:r>
        <w:rPr>
          <w:rFonts w:ascii="方正仿宋简体" w:eastAsia="方正仿宋简体" w:hint="eastAsia"/>
          <w:b/>
          <w:sz w:val="24"/>
          <w:szCs w:val="24"/>
        </w:rPr>
        <w:t>投资账户信息</w:t>
      </w:r>
    </w:p>
    <w:tbl>
      <w:tblPr>
        <w:tblpPr w:leftFromText="180" w:rightFromText="180" w:vertAnchor="text" w:tblpXSpec="center" w:tblpY="1"/>
        <w:tblOverlap w:val="never"/>
        <w:tblW w:w="89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46"/>
        <w:gridCol w:w="1417"/>
        <w:gridCol w:w="2668"/>
        <w:gridCol w:w="1983"/>
        <w:gridCol w:w="1988"/>
      </w:tblGrid>
      <w:tr w:rsidR="00151CEF">
        <w:trPr>
          <w:trHeight w:val="584"/>
          <w:jc w:val="center"/>
        </w:trPr>
        <w:tc>
          <w:tcPr>
            <w:tcW w:w="846"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41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账户类型</w:t>
            </w:r>
          </w:p>
        </w:tc>
        <w:tc>
          <w:tcPr>
            <w:tcW w:w="2668"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账号</w:t>
            </w:r>
          </w:p>
        </w:tc>
        <w:tc>
          <w:tcPr>
            <w:tcW w:w="1983"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账户名称</w:t>
            </w:r>
          </w:p>
        </w:tc>
        <w:tc>
          <w:tcPr>
            <w:tcW w:w="1988"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开户单位</w:t>
            </w:r>
          </w:p>
        </w:tc>
      </w:tr>
      <w:tr>
        <w:trPr>
          <w:trHeight w:val="584"/>
          <w:jc w:val="center"/>
        </w:trPr>
        <w:tc>
          <w:tcPr>
            <w:tcW w:w="84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141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托管账户</w:t>
            </w:r>
          </w:p>
        </w:tc>
        <w:tc>
          <w:tcPr>
            <w:tcW w:w="266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0101000000001490</w:t>
            </w:r>
          </w:p>
        </w:tc>
        <w:tc>
          <w:tcPr>
            <w:tcW w:w="19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南银理财鼎瑞安稳一年定开2025第7期</w:t>
            </w:r>
          </w:p>
        </w:tc>
        <w:tc>
          <w:tcPr>
            <w:tcW w:w="198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南京银行</w:t>
            </w:r>
          </w:p>
        </w:tc>
      </w:tr>
    </w:tbl>
    <w:p w:rsidR="00151CEF" w:rsidRDefault="00151CEF">
      <w:pPr>
        <w:spacing w:afterLines="0" w:line="360" w:lineRule="auto"/>
        <w:rPr>
          <w:rFonts w:ascii="方正仿宋_GBK" w:eastAsia="方正仿宋_GBK"/>
          <w:sz w:val="24"/>
          <w:szCs w:val="24"/>
        </w:rPr>
      </w:pPr>
    </w:p>
    <w:p w:rsidR="00151CEF" w:rsidRDefault="00151CEF">
      <w:pPr>
        <w:spacing w:before="240" w:after="72" w:line="360" w:lineRule="auto"/>
        <w:jc w:val="center"/>
        <w:rPr>
          <w:rFonts w:ascii="方正仿宋_GBK" w:eastAsia="方正仿宋_GBK"/>
          <w:b/>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6 </w:t>
      </w:r>
      <w:r>
        <w:rPr>
          <w:rFonts w:ascii="方正仿宋简体" w:eastAsia="方正仿宋简体" w:hint="eastAsia"/>
          <w:b/>
          <w:sz w:val="24"/>
          <w:szCs w:val="24"/>
        </w:rPr>
        <w:t>关联交易情况</w:t>
      </w:r>
    </w:p>
    <w:p w:rsidR="00151CEF" w:rsidRDefault="008B1379">
      <w:pPr>
        <w:spacing w:before="240" w:after="72" w:line="360" w:lineRule="auto"/>
        <w:rPr>
          <w:rFonts w:ascii="方正仿宋简体" w:eastAsia="方正仿宋简体"/>
          <w:b/>
          <w:sz w:val="24"/>
          <w:szCs w:val="24"/>
        </w:rPr>
      </w:pPr>
      <w:r>
        <w:rPr>
          <w:rFonts w:ascii="方正仿宋简体" w:eastAsia="方正仿宋简体" w:hint="eastAsia"/>
          <w:b/>
          <w:sz w:val="24"/>
          <w:szCs w:val="24"/>
        </w:rPr>
        <w:t>6.1</w:t>
      </w:r>
      <w:r w:rsidR="003E5C34">
        <w:rPr>
          <w:rFonts w:ascii="方正仿宋简体" w:eastAsia="方正仿宋简体" w:hint="eastAsia"/>
          <w:b/>
          <w:sz w:val="24"/>
          <w:szCs w:val="24"/>
        </w:rPr>
        <w:t>产品投资于关联方发行的证券</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765"/>
        <w:gridCol w:w="1765"/>
      </w:tblGrid>
      <w:tr w:rsidR="00151CEF">
        <w:trPr>
          <w:trHeight w:val="534"/>
          <w:jc w:val="center"/>
        </w:trPr>
        <w:tc>
          <w:tcPr>
            <w:tcW w:w="877"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关联方名称</w:t>
            </w:r>
          </w:p>
        </w:tc>
        <w:tc>
          <w:tcPr>
            <w:tcW w:w="1275"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w:t>
            </w:r>
            <w:r>
              <w:rPr>
                <w:rFonts w:ascii="方正仿宋简体" w:eastAsia="方正仿宋简体" w:hint="eastAsia"/>
                <w:sz w:val="24"/>
                <w:szCs w:val="24"/>
              </w:rPr>
              <w:t>名称</w:t>
            </w:r>
          </w:p>
        </w:tc>
        <w:tc>
          <w:tcPr>
            <w:tcW w:w="1540"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资产代码</w:t>
            </w:r>
          </w:p>
        </w:tc>
        <w:tc>
          <w:tcPr>
            <w:tcW w:w="3530" w:type="dxa"/>
            <w:gridSpan w:val="2"/>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报告期内买入证券</w:t>
            </w:r>
          </w:p>
        </w:tc>
      </w:tr>
      <w:tr w:rsidR="00151CEF">
        <w:trPr>
          <w:trHeight w:val="534"/>
          <w:jc w:val="center"/>
        </w:trPr>
        <w:tc>
          <w:tcPr>
            <w:tcW w:w="877" w:type="dxa"/>
            <w:vMerge/>
            <w:vAlign w:val="center"/>
          </w:tcPr>
          <w:p w:rsidR="00151CEF" w:rsidRDefault="00151CEF" w:rsidP="008B1379">
            <w:pPr>
              <w:spacing w:beforeLines="20" w:afterLines="20"/>
              <w:jc w:val="center"/>
            </w:pPr>
          </w:p>
        </w:tc>
        <w:tc>
          <w:tcPr>
            <w:tcW w:w="1704" w:type="dxa"/>
            <w:vMerge/>
            <w:vAlign w:val="center"/>
          </w:tcPr>
          <w:p w:rsidR="00151CEF" w:rsidRDefault="00151CEF" w:rsidP="008B1379">
            <w:pPr>
              <w:spacing w:beforeLines="20" w:afterLines="20"/>
              <w:jc w:val="center"/>
            </w:pPr>
          </w:p>
        </w:tc>
        <w:tc>
          <w:tcPr>
            <w:tcW w:w="1275" w:type="dxa"/>
            <w:vMerge/>
            <w:vAlign w:val="center"/>
          </w:tcPr>
          <w:p w:rsidR="00151CEF" w:rsidRDefault="00151CEF" w:rsidP="008B1379">
            <w:pPr>
              <w:spacing w:beforeLines="20" w:afterLines="20"/>
              <w:jc w:val="center"/>
            </w:pPr>
          </w:p>
        </w:tc>
        <w:tc>
          <w:tcPr>
            <w:tcW w:w="1540" w:type="dxa"/>
            <w:vMerge/>
            <w:vAlign w:val="center"/>
          </w:tcPr>
          <w:p w:rsidR="00151CEF" w:rsidRDefault="00151CEF" w:rsidP="008B1379">
            <w:pPr>
              <w:spacing w:beforeLines="20" w:afterLines="20"/>
              <w:jc w:val="center"/>
            </w:pP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数量（单位：张）</w:t>
            </w: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r>
    </w:tbl>
    <w:p w:rsidR="00151CEF" w:rsidRDefault="00E665A0">
      <w:pPr>
        <w:spacing w:before="240" w:after="72" w:line="360" w:lineRule="auto"/>
        <w:rPr>
          <w:rFonts w:ascii="方正仿宋简体" w:eastAsia="方正仿宋简体"/>
          <w:b/>
          <w:sz w:val="24"/>
          <w:szCs w:val="24"/>
        </w:rPr>
      </w:pPr>
      <w:r>
        <w:rPr>
          <w:rFonts w:ascii="方正仿宋简体" w:eastAsia="方正仿宋简体" w:hint="eastAsia"/>
          <w:b/>
          <w:sz w:val="24"/>
          <w:szCs w:val="24"/>
        </w:rPr>
        <w:t>6.</w:t>
      </w:r>
      <w:r w:rsidR="003E5C34">
        <w:rPr>
          <w:rFonts w:ascii="方正仿宋简体" w:eastAsia="方正仿宋简体" w:hint="eastAsia"/>
          <w:b/>
          <w:sz w:val="24"/>
          <w:szCs w:val="24"/>
        </w:rPr>
        <w:t>2</w:t>
      </w:r>
      <w:r w:rsidR="003E5C34">
        <w:rPr>
          <w:rFonts w:ascii="方正仿宋简体" w:eastAsia="方正仿宋简体" w:hint="eastAsia"/>
          <w:b/>
          <w:sz w:val="24"/>
          <w:szCs w:val="24"/>
        </w:rPr>
        <w:t>产品投资于关联方承销的证券</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765"/>
        <w:gridCol w:w="1765"/>
      </w:tblGrid>
      <w:tr w:rsidR="00151CEF">
        <w:trPr>
          <w:trHeight w:val="534"/>
          <w:jc w:val="center"/>
        </w:trPr>
        <w:tc>
          <w:tcPr>
            <w:tcW w:w="877"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关联方名称</w:t>
            </w:r>
          </w:p>
        </w:tc>
        <w:tc>
          <w:tcPr>
            <w:tcW w:w="1275"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w:t>
            </w:r>
            <w:r>
              <w:rPr>
                <w:rFonts w:ascii="方正仿宋简体" w:eastAsia="方正仿宋简体" w:hint="eastAsia"/>
                <w:sz w:val="24"/>
                <w:szCs w:val="24"/>
              </w:rPr>
              <w:t>名称</w:t>
            </w:r>
          </w:p>
        </w:tc>
        <w:tc>
          <w:tcPr>
            <w:tcW w:w="1540"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资产代码</w:t>
            </w:r>
          </w:p>
        </w:tc>
        <w:tc>
          <w:tcPr>
            <w:tcW w:w="3530" w:type="dxa"/>
            <w:gridSpan w:val="2"/>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报告期内买入证券</w:t>
            </w:r>
          </w:p>
        </w:tc>
      </w:tr>
      <w:tr w:rsidR="00151CEF">
        <w:trPr>
          <w:trHeight w:val="534"/>
          <w:jc w:val="center"/>
        </w:trPr>
        <w:tc>
          <w:tcPr>
            <w:tcW w:w="877" w:type="dxa"/>
            <w:vMerge/>
            <w:vAlign w:val="center"/>
          </w:tcPr>
          <w:p w:rsidR="00151CEF" w:rsidRDefault="00151CEF" w:rsidP="008B1379">
            <w:pPr>
              <w:spacing w:beforeLines="20" w:afterLines="20"/>
              <w:jc w:val="center"/>
            </w:pPr>
          </w:p>
        </w:tc>
        <w:tc>
          <w:tcPr>
            <w:tcW w:w="1704" w:type="dxa"/>
            <w:vMerge/>
            <w:vAlign w:val="center"/>
          </w:tcPr>
          <w:p w:rsidR="00151CEF" w:rsidRDefault="00151CEF" w:rsidP="008B1379">
            <w:pPr>
              <w:spacing w:beforeLines="20" w:afterLines="20"/>
              <w:jc w:val="center"/>
            </w:pPr>
          </w:p>
        </w:tc>
        <w:tc>
          <w:tcPr>
            <w:tcW w:w="1275" w:type="dxa"/>
            <w:vMerge/>
            <w:vAlign w:val="center"/>
          </w:tcPr>
          <w:p w:rsidR="00151CEF" w:rsidRDefault="00151CEF" w:rsidP="008B1379">
            <w:pPr>
              <w:spacing w:beforeLines="20" w:afterLines="20"/>
              <w:jc w:val="center"/>
            </w:pPr>
          </w:p>
        </w:tc>
        <w:tc>
          <w:tcPr>
            <w:tcW w:w="1540" w:type="dxa"/>
            <w:vMerge/>
            <w:vAlign w:val="center"/>
          </w:tcPr>
          <w:p w:rsidR="00151CEF" w:rsidRDefault="00151CEF" w:rsidP="008B1379">
            <w:pPr>
              <w:spacing w:beforeLines="20" w:afterLines="20"/>
              <w:jc w:val="center"/>
            </w:pP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数量（单位：张）</w:t>
            </w: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南京银行股份有限公司</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25海发集团MTN002</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102501360</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200000.00</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20434356.16</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南京银行股份有限公司</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25金坛投资MTN001</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102580165</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200000.00</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20513685.48</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南京银行股份有限公司</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24海鸿投资MTN002</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102485099</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200000.00</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20826235.62</w:t>
            </w:r>
          </w:p>
        </w:tc>
      </w:tr>
    </w:tbl>
    <w:p w:rsidR="00151CEF" w:rsidRDefault="001F5F55">
      <w:pPr>
        <w:spacing w:before="240" w:after="72" w:line="360" w:lineRule="auto"/>
        <w:rPr>
          <w:rFonts w:ascii="方正仿宋简体" w:eastAsia="方正仿宋简体"/>
          <w:b/>
          <w:sz w:val="24"/>
          <w:szCs w:val="24"/>
        </w:rPr>
      </w:pPr>
      <w:r>
        <w:rPr>
          <w:rFonts w:ascii="方正仿宋简体" w:eastAsia="方正仿宋简体" w:hint="eastAsia"/>
          <w:b/>
          <w:sz w:val="24"/>
          <w:szCs w:val="24"/>
        </w:rPr>
        <w:t>6</w:t>
      </w:r>
      <w:r w:rsidR="003E5C34">
        <w:rPr>
          <w:rFonts w:ascii="方正仿宋简体" w:eastAsia="方正仿宋简体" w:hint="eastAsia"/>
          <w:b/>
          <w:sz w:val="24"/>
          <w:szCs w:val="24"/>
        </w:rPr>
        <w:t>.3</w:t>
      </w:r>
      <w:r w:rsidR="003E5C34">
        <w:rPr>
          <w:rFonts w:ascii="方正仿宋简体" w:eastAsia="方正仿宋简体" w:hint="eastAsia"/>
          <w:b/>
          <w:sz w:val="24"/>
          <w:szCs w:val="24"/>
        </w:rPr>
        <w:t>产品投资于关联方发行的资产管理产品</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765"/>
        <w:gridCol w:w="1765"/>
      </w:tblGrid>
      <w:tr w:rsidR="00151CEF">
        <w:trPr>
          <w:trHeight w:val="534"/>
          <w:jc w:val="center"/>
        </w:trPr>
        <w:tc>
          <w:tcPr>
            <w:tcW w:w="877"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关联方名称</w:t>
            </w:r>
          </w:p>
        </w:tc>
        <w:tc>
          <w:tcPr>
            <w:tcW w:w="1275"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资产管理产品名称</w:t>
            </w:r>
          </w:p>
        </w:tc>
        <w:tc>
          <w:tcPr>
            <w:tcW w:w="1540"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资产管理产品代码</w:t>
            </w:r>
          </w:p>
        </w:tc>
        <w:tc>
          <w:tcPr>
            <w:tcW w:w="3530" w:type="dxa"/>
            <w:gridSpan w:val="2"/>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报告期内买入</w:t>
            </w:r>
            <w:bookmarkStart w:id="0" w:name="_GoBack"/>
            <w:bookmarkEnd w:id="0"/>
            <w:r>
              <w:rPr>
                <w:rFonts w:ascii="方正仿宋简体" w:eastAsia="方正仿宋简体" w:hint="eastAsia"/>
                <w:sz w:val="24"/>
                <w:szCs w:val="24"/>
              </w:rPr>
              <w:t>资产管理产品</w:t>
            </w:r>
          </w:p>
        </w:tc>
      </w:tr>
      <w:tr w:rsidR="00151CEF">
        <w:trPr>
          <w:trHeight w:val="534"/>
          <w:jc w:val="center"/>
        </w:trPr>
        <w:tc>
          <w:tcPr>
            <w:tcW w:w="877" w:type="dxa"/>
            <w:vMerge/>
            <w:vAlign w:val="center"/>
          </w:tcPr>
          <w:p w:rsidR="00151CEF" w:rsidRDefault="00151CEF" w:rsidP="008B1379">
            <w:pPr>
              <w:spacing w:beforeLines="20" w:afterLines="20"/>
              <w:jc w:val="center"/>
            </w:pPr>
          </w:p>
        </w:tc>
        <w:tc>
          <w:tcPr>
            <w:tcW w:w="1704" w:type="dxa"/>
            <w:vMerge/>
            <w:vAlign w:val="center"/>
          </w:tcPr>
          <w:p w:rsidR="00151CEF" w:rsidRDefault="00151CEF" w:rsidP="008B1379">
            <w:pPr>
              <w:spacing w:beforeLines="20" w:afterLines="20"/>
              <w:jc w:val="center"/>
            </w:pPr>
          </w:p>
        </w:tc>
        <w:tc>
          <w:tcPr>
            <w:tcW w:w="1275" w:type="dxa"/>
            <w:vMerge/>
            <w:vAlign w:val="center"/>
          </w:tcPr>
          <w:p w:rsidR="00151CEF" w:rsidRDefault="00151CEF" w:rsidP="008B1379">
            <w:pPr>
              <w:spacing w:beforeLines="20" w:afterLines="20"/>
              <w:jc w:val="center"/>
            </w:pPr>
          </w:p>
        </w:tc>
        <w:tc>
          <w:tcPr>
            <w:tcW w:w="1540" w:type="dxa"/>
            <w:vMerge/>
            <w:vAlign w:val="center"/>
          </w:tcPr>
          <w:p w:rsidR="00151CEF" w:rsidRDefault="00151CEF" w:rsidP="008B1379">
            <w:pPr>
              <w:spacing w:beforeLines="20" w:afterLines="20"/>
              <w:jc w:val="center"/>
            </w:pP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数量（单位：张）</w:t>
            </w: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紫金信托有限责任公司</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紫金信托合盛2号集合资金信托计划</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ZJQTT202412040001</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759690871.06</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766600000.00</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鑫元基金管理有限公司</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鑫元基金-鑫安利得63号集合资产管理计划</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ZJQTT202306200001</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156696469.72</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170000000.00</w:t>
            </w:r>
          </w:p>
        </w:tc>
      </w:tr>
    </w:tbl>
    <w:p w:rsidR="00151CEF" w:rsidRDefault="00F1350B">
      <w:pPr>
        <w:spacing w:before="240" w:after="72" w:line="360" w:lineRule="auto"/>
        <w:rPr>
          <w:rFonts w:ascii="方正仿宋简体" w:eastAsia="方正仿宋简体"/>
          <w:b/>
          <w:sz w:val="24"/>
          <w:szCs w:val="24"/>
        </w:rPr>
      </w:pPr>
      <w:r>
        <w:rPr>
          <w:rFonts w:ascii="方正仿宋简体" w:eastAsia="方正仿宋简体" w:hint="eastAsia"/>
          <w:b/>
          <w:sz w:val="24"/>
          <w:szCs w:val="24"/>
        </w:rPr>
        <w:t>6</w:t>
      </w:r>
      <w:r w:rsidR="003E5C34">
        <w:rPr>
          <w:rFonts w:ascii="方正仿宋简体" w:eastAsia="方正仿宋简体" w:hint="eastAsia"/>
          <w:b/>
          <w:sz w:val="24"/>
          <w:szCs w:val="24"/>
        </w:rPr>
        <w:t>.4</w:t>
      </w:r>
      <w:r w:rsidR="003E5C34">
        <w:rPr>
          <w:rFonts w:ascii="方正仿宋简体" w:eastAsia="方正仿宋简体" w:hint="eastAsia"/>
          <w:b/>
          <w:sz w:val="24"/>
          <w:szCs w:val="24"/>
        </w:rPr>
        <w:t>其他关联交易</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2117"/>
        <w:gridCol w:w="3090"/>
        <w:gridCol w:w="2842"/>
      </w:tblGrid>
      <w:tr w:rsidR="00151CEF">
        <w:trPr>
          <w:trHeight w:val="1048"/>
          <w:jc w:val="center"/>
        </w:trPr>
        <w:tc>
          <w:tcPr>
            <w:tcW w:w="87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211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交易类型</w:t>
            </w:r>
          </w:p>
        </w:tc>
        <w:tc>
          <w:tcPr>
            <w:tcW w:w="309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w:t>
            </w:r>
            <w:r>
              <w:rPr>
                <w:rFonts w:ascii="方正仿宋简体" w:eastAsia="方正仿宋简体" w:hint="eastAsia"/>
                <w:sz w:val="24"/>
                <w:szCs w:val="24"/>
              </w:rPr>
              <w:t>名称</w:t>
            </w:r>
          </w:p>
        </w:tc>
        <w:tc>
          <w:tcPr>
            <w:tcW w:w="2842"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211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代销费</w:t>
            </w:r>
          </w:p>
        </w:tc>
        <w:tc>
          <w:tcPr>
            <w:tcW w:w="309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南京银行股份有限公司</w:t>
            </w:r>
          </w:p>
        </w:tc>
        <w:tc>
          <w:tcPr>
            <w:tcW w:w="2842"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6112.67</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w:t>
            </w:r>
          </w:p>
        </w:tc>
        <w:tc>
          <w:tcPr>
            <w:tcW w:w="211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托管费</w:t>
            </w:r>
          </w:p>
        </w:tc>
        <w:tc>
          <w:tcPr>
            <w:tcW w:w="309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南京银行股份有限公司</w:t>
            </w:r>
          </w:p>
        </w:tc>
        <w:tc>
          <w:tcPr>
            <w:tcW w:w="2842"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2826.03</w:t>
            </w:r>
          </w:p>
        </w:tc>
      </w:tr>
    </w:tbl>
    <w:p w:rsidR="00151CEF" w:rsidRDefault="00151CEF">
      <w:pPr>
        <w:spacing w:before="240" w:after="72" w:line="360" w:lineRule="auto"/>
        <w:rPr>
          <w:rFonts w:ascii="方正仿宋_GBK" w:eastAsia="方正仿宋_GBK" w:hAnsi="宋体" w:cs="宋体"/>
          <w:kern w:val="0"/>
          <w:sz w:val="24"/>
          <w:szCs w:val="24"/>
        </w:rPr>
      </w:pPr>
    </w:p>
    <w:p w:rsidR="00151CEF" w:rsidRDefault="00151CEF">
      <w:pPr>
        <w:spacing w:before="240" w:after="72" w:line="360" w:lineRule="auto"/>
        <w:jc w:val="right"/>
        <w:rPr>
          <w:rFonts w:ascii="方正仿宋_GBK" w:eastAsia="方正仿宋_GBK"/>
          <w:b/>
          <w:sz w:val="24"/>
          <w:szCs w:val="24"/>
        </w:rPr>
      </w:pPr>
    </w:p>
    <w:p w:rsidR="00151CEF" w:rsidRDefault="003E5C34">
      <w:pPr>
        <w:spacing w:before="240" w:after="72" w:line="360" w:lineRule="auto"/>
        <w:jc w:val="right"/>
        <w:rPr>
          <w:rFonts w:ascii="方正仿宋简体" w:eastAsia="方正仿宋简体"/>
          <w:b/>
          <w:sz w:val="24"/>
          <w:szCs w:val="24"/>
        </w:rPr>
      </w:pPr>
      <w:r>
        <w:rPr>
          <w:rFonts w:ascii="方正仿宋简体" w:eastAsia="方正仿宋简体" w:hint="eastAsia"/>
          <w:b/>
          <w:sz w:val="24"/>
          <w:szCs w:val="24"/>
        </w:rPr>
        <w:lastRenderedPageBreak/>
        <w:t>南银理财有限责任公司</w:t>
      </w:r>
    </w:p>
    <w:p w:rsidR="00151CEF" w:rsidRDefault="003E5C34">
      <w:pPr>
        <w:spacing w:before="240" w:after="72" w:line="360" w:lineRule="auto"/>
        <w:jc w:val="right"/>
        <w:rPr>
          <w:rFonts w:ascii="方正仿宋_GBK" w:eastAsia="方正仿宋_GBK"/>
          <w:sz w:val="24"/>
          <w:szCs w:val="24"/>
        </w:rPr>
      </w:pPr>
      <w:r>
        <w:rPr>
          <w:rFonts w:ascii="方正仿宋简体" w:eastAsia="方正仿宋简体" w:hint="eastAsia"/>
          <w:b/>
          <w:sz w:val="24"/>
          <w:szCs w:val="24"/>
        </w:rPr>
        <w:t>2026年06月30日</w:t>
      </w:r>
    </w:p>
    <w:sectPr w:rsidR="00151CEF" w:rsidSect="00151CEF">
      <w:headerReference w:type="even" r:id="rId7"/>
      <w:headerReference w:type="default" r:id="rId8"/>
      <w:footerReference w:type="even" r:id="rId9"/>
      <w:footerReference w:type="default" r:id="rId10"/>
      <w:headerReference w:type="first" r:id="rId11"/>
      <w:footerReference w:type="first" r:id="rId12"/>
      <w:pgSz w:w="11926" w:h="16867"/>
      <w:pgMar w:top="1418" w:right="1418" w:bottom="853" w:left="1418" w:header="851" w:footer="992" w:gutter="0"/>
      <w:cols w:space="720"/>
      <w:titlePg/>
      <w:docGrid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E5C34" w:rsidRDefault="003E5C34" w:rsidP="008B1379">
      <w:pPr>
        <w:spacing w:after="72"/>
      </w:pPr>
      <w:r>
        <w:separator/>
      </w:r>
    </w:p>
  </w:endnote>
  <w:endnote w:type="continuationSeparator" w:id="1">
    <w:p w:rsidR="003E5C34" w:rsidRDefault="003E5C34" w:rsidP="008B1379">
      <w:pPr>
        <w:spacing w:after="72"/>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黑体简体">
    <w:altName w:val="Arial Unicode MS"/>
    <w:charset w:val="86"/>
    <w:family w:val="script"/>
    <w:pitch w:val="default"/>
    <w:sig w:usb0="00000000" w:usb1="080E0000" w:usb2="00000000" w:usb3="00000000" w:csb0="00040000" w:csb1="00000000"/>
  </w:font>
  <w:font w:name="Calibri">
    <w:panose1 w:val="020F0502020204030204"/>
    <w:charset w:val="00"/>
    <w:family w:val="swiss"/>
    <w:pitch w:val="variable"/>
    <w:sig w:usb0="E10002FF" w:usb1="4000ACFF" w:usb2="00000009" w:usb3="00000000" w:csb0="0000019F" w:csb1="00000000"/>
  </w:font>
  <w:font w:name="方正仿宋简体">
    <w:altName w:val="Arial Unicode MS"/>
    <w:charset w:val="86"/>
    <w:family w:val="script"/>
    <w:pitch w:val="default"/>
    <w:sig w:usb0="00000000" w:usb1="080E0000" w:usb2="00000000" w:usb3="00000000" w:csb0="00040000" w:csb1="00000000"/>
  </w:font>
  <w:font w:name="方正仿宋_GBK">
    <w:altName w:val="Arial Unicode MS"/>
    <w:charset w:val="86"/>
    <w:family w:val="script"/>
    <w:pitch w:val="default"/>
    <w:sig w:usb0="00000000" w:usb1="080E0000" w:usb2="00000000" w:usb3="00000000" w:csb0="00040000" w:csb1="00000000"/>
  </w:font>
  <w:font w:name="Calibri Light">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3"/>
      <w:framePr w:wrap="around" w:vAnchor="text" w:hAnchor="margin" w:xAlign="center" w:y="1"/>
      <w:spacing w:after="72"/>
      <w:rPr>
        <w:rStyle w:val="a6"/>
      </w:rPr>
    </w:pPr>
    <w:r>
      <w:fldChar w:fldCharType="begin"/>
    </w:r>
    <w:r w:rsidR="003E5C34">
      <w:rPr>
        <w:rStyle w:val="a6"/>
      </w:rPr>
      <w:instrText xml:space="preserve">PAGE  </w:instrText>
    </w:r>
    <w:r>
      <w:fldChar w:fldCharType="end"/>
    </w:r>
  </w:p>
  <w:p w:rsidR="00151CEF" w:rsidRDefault="00151CEF">
    <w:pPr>
      <w:pStyle w:val="a3"/>
      <w:spacing w:after="72"/>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3"/>
      <w:spacing w:after="72"/>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3"/>
      <w:spacing w:after="72"/>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E5C34" w:rsidRDefault="003E5C34" w:rsidP="008B1379">
      <w:pPr>
        <w:spacing w:after="72"/>
      </w:pPr>
      <w:r>
        <w:separator/>
      </w:r>
    </w:p>
  </w:footnote>
  <w:footnote w:type="continuationSeparator" w:id="1">
    <w:p w:rsidR="003E5C34" w:rsidRDefault="003E5C34" w:rsidP="008B1379">
      <w:pPr>
        <w:spacing w:after="72"/>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4"/>
      <w:spacing w:after="72"/>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4"/>
      <w:spacing w:after="72"/>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4"/>
      <w:spacing w:after="72"/>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420"/>
  <w:drawingGridVerticalSpacing w:val="156"/>
  <w:noPunctuationKerning/>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docVars>
    <w:docVar w:name="commondata" w:val="eyJoZGlkIjoiNWYyNWQ5MDZiYWM3OWVhN2E1ZmU3ZDVmOTg3Nzk4MzgifQ=="/>
  </w:docVars>
  <w:rsids>
    <w:rsidRoot w:val="005A7904"/>
    <w:rsid w:val="00012CAC"/>
    <w:rsid w:val="00041771"/>
    <w:rsid w:val="000532CC"/>
    <w:rsid w:val="00063EA9"/>
    <w:rsid w:val="00072345"/>
    <w:rsid w:val="00072AD4"/>
    <w:rsid w:val="00074655"/>
    <w:rsid w:val="00075628"/>
    <w:rsid w:val="0007673D"/>
    <w:rsid w:val="000C0CDF"/>
    <w:rsid w:val="00103A35"/>
    <w:rsid w:val="001129D2"/>
    <w:rsid w:val="00137120"/>
    <w:rsid w:val="00142497"/>
    <w:rsid w:val="00151CEF"/>
    <w:rsid w:val="0018311F"/>
    <w:rsid w:val="001F5F55"/>
    <w:rsid w:val="00201F77"/>
    <w:rsid w:val="00232109"/>
    <w:rsid w:val="00232DB0"/>
    <w:rsid w:val="002344B0"/>
    <w:rsid w:val="00244B70"/>
    <w:rsid w:val="002624BA"/>
    <w:rsid w:val="00262B4B"/>
    <w:rsid w:val="002867ED"/>
    <w:rsid w:val="002A2BCE"/>
    <w:rsid w:val="002A5314"/>
    <w:rsid w:val="002B165D"/>
    <w:rsid w:val="002E3543"/>
    <w:rsid w:val="002E5873"/>
    <w:rsid w:val="002F5C12"/>
    <w:rsid w:val="0031044B"/>
    <w:rsid w:val="00320EE0"/>
    <w:rsid w:val="0032248B"/>
    <w:rsid w:val="00327DCA"/>
    <w:rsid w:val="0034437E"/>
    <w:rsid w:val="00375C09"/>
    <w:rsid w:val="003956D3"/>
    <w:rsid w:val="003B2C2B"/>
    <w:rsid w:val="003C00A0"/>
    <w:rsid w:val="003D3C54"/>
    <w:rsid w:val="003E5C34"/>
    <w:rsid w:val="003F013A"/>
    <w:rsid w:val="0040415E"/>
    <w:rsid w:val="00414B37"/>
    <w:rsid w:val="00427D95"/>
    <w:rsid w:val="00432880"/>
    <w:rsid w:val="00451C56"/>
    <w:rsid w:val="004601C9"/>
    <w:rsid w:val="004633DF"/>
    <w:rsid w:val="004822D3"/>
    <w:rsid w:val="00486D6C"/>
    <w:rsid w:val="00494CBA"/>
    <w:rsid w:val="004B750B"/>
    <w:rsid w:val="004D15C6"/>
    <w:rsid w:val="004E5012"/>
    <w:rsid w:val="004F595C"/>
    <w:rsid w:val="00503A1E"/>
    <w:rsid w:val="00505062"/>
    <w:rsid w:val="005117FF"/>
    <w:rsid w:val="0052308E"/>
    <w:rsid w:val="00524B4A"/>
    <w:rsid w:val="00531855"/>
    <w:rsid w:val="00537A01"/>
    <w:rsid w:val="0055573F"/>
    <w:rsid w:val="00573EE2"/>
    <w:rsid w:val="00595C46"/>
    <w:rsid w:val="005A7904"/>
    <w:rsid w:val="005B5E17"/>
    <w:rsid w:val="005C595B"/>
    <w:rsid w:val="005C763A"/>
    <w:rsid w:val="005D04CF"/>
    <w:rsid w:val="005F4A24"/>
    <w:rsid w:val="006143B7"/>
    <w:rsid w:val="00624BF8"/>
    <w:rsid w:val="00631F68"/>
    <w:rsid w:val="00640498"/>
    <w:rsid w:val="00642207"/>
    <w:rsid w:val="00643B36"/>
    <w:rsid w:val="00650C13"/>
    <w:rsid w:val="00656546"/>
    <w:rsid w:val="00675A8D"/>
    <w:rsid w:val="00676A68"/>
    <w:rsid w:val="00676EE8"/>
    <w:rsid w:val="0068398A"/>
    <w:rsid w:val="0068509B"/>
    <w:rsid w:val="00695491"/>
    <w:rsid w:val="006C7930"/>
    <w:rsid w:val="006D1D83"/>
    <w:rsid w:val="006E3DA2"/>
    <w:rsid w:val="00704BBE"/>
    <w:rsid w:val="007120E8"/>
    <w:rsid w:val="00723B0B"/>
    <w:rsid w:val="0072595B"/>
    <w:rsid w:val="00731D12"/>
    <w:rsid w:val="00735299"/>
    <w:rsid w:val="00735F94"/>
    <w:rsid w:val="00743D27"/>
    <w:rsid w:val="007440B8"/>
    <w:rsid w:val="00751294"/>
    <w:rsid w:val="00763229"/>
    <w:rsid w:val="00766941"/>
    <w:rsid w:val="007672C3"/>
    <w:rsid w:val="007816A9"/>
    <w:rsid w:val="00793EAE"/>
    <w:rsid w:val="00793F12"/>
    <w:rsid w:val="00794F8E"/>
    <w:rsid w:val="007B65F9"/>
    <w:rsid w:val="007C0575"/>
    <w:rsid w:val="007C36B2"/>
    <w:rsid w:val="007D32E0"/>
    <w:rsid w:val="007E2BB3"/>
    <w:rsid w:val="007E50AE"/>
    <w:rsid w:val="007F53C8"/>
    <w:rsid w:val="00801EF3"/>
    <w:rsid w:val="0080768D"/>
    <w:rsid w:val="00810A55"/>
    <w:rsid w:val="00870344"/>
    <w:rsid w:val="00870AE4"/>
    <w:rsid w:val="0087631D"/>
    <w:rsid w:val="00883B64"/>
    <w:rsid w:val="00896D5D"/>
    <w:rsid w:val="008B06B0"/>
    <w:rsid w:val="008B0D1E"/>
    <w:rsid w:val="008B1379"/>
    <w:rsid w:val="008E1A84"/>
    <w:rsid w:val="008F5BE6"/>
    <w:rsid w:val="008F5F21"/>
    <w:rsid w:val="008F6281"/>
    <w:rsid w:val="00902434"/>
    <w:rsid w:val="0093559E"/>
    <w:rsid w:val="009371B9"/>
    <w:rsid w:val="009515A9"/>
    <w:rsid w:val="009800BA"/>
    <w:rsid w:val="0098497E"/>
    <w:rsid w:val="00985734"/>
    <w:rsid w:val="009B41A7"/>
    <w:rsid w:val="009D656A"/>
    <w:rsid w:val="009D6D5E"/>
    <w:rsid w:val="009E2AE4"/>
    <w:rsid w:val="009E6E45"/>
    <w:rsid w:val="009F7125"/>
    <w:rsid w:val="00A21516"/>
    <w:rsid w:val="00A274D5"/>
    <w:rsid w:val="00A60FAC"/>
    <w:rsid w:val="00A72E96"/>
    <w:rsid w:val="00A7691A"/>
    <w:rsid w:val="00AB2343"/>
    <w:rsid w:val="00AB572D"/>
    <w:rsid w:val="00AB5ADF"/>
    <w:rsid w:val="00AC1D30"/>
    <w:rsid w:val="00AE27AA"/>
    <w:rsid w:val="00AE2FD4"/>
    <w:rsid w:val="00AE7758"/>
    <w:rsid w:val="00B0184E"/>
    <w:rsid w:val="00B072C9"/>
    <w:rsid w:val="00B146F0"/>
    <w:rsid w:val="00B23FA8"/>
    <w:rsid w:val="00B30356"/>
    <w:rsid w:val="00B31DA4"/>
    <w:rsid w:val="00B31E80"/>
    <w:rsid w:val="00B40016"/>
    <w:rsid w:val="00B54020"/>
    <w:rsid w:val="00B55F33"/>
    <w:rsid w:val="00B6652C"/>
    <w:rsid w:val="00B74684"/>
    <w:rsid w:val="00B86805"/>
    <w:rsid w:val="00B921B8"/>
    <w:rsid w:val="00BA2C30"/>
    <w:rsid w:val="00BA4534"/>
    <w:rsid w:val="00BB1418"/>
    <w:rsid w:val="00BC2953"/>
    <w:rsid w:val="00BD0BFD"/>
    <w:rsid w:val="00C14418"/>
    <w:rsid w:val="00C4285D"/>
    <w:rsid w:val="00C62A28"/>
    <w:rsid w:val="00CA36B2"/>
    <w:rsid w:val="00CA4B23"/>
    <w:rsid w:val="00CB67FC"/>
    <w:rsid w:val="00CC703B"/>
    <w:rsid w:val="00CF49CF"/>
    <w:rsid w:val="00D0321E"/>
    <w:rsid w:val="00D1704F"/>
    <w:rsid w:val="00D22C40"/>
    <w:rsid w:val="00D35825"/>
    <w:rsid w:val="00D46EBF"/>
    <w:rsid w:val="00D61130"/>
    <w:rsid w:val="00D76555"/>
    <w:rsid w:val="00D873B3"/>
    <w:rsid w:val="00DA576C"/>
    <w:rsid w:val="00DA57F4"/>
    <w:rsid w:val="00DB4AFE"/>
    <w:rsid w:val="00DD2B26"/>
    <w:rsid w:val="00DD60D3"/>
    <w:rsid w:val="00DE6F49"/>
    <w:rsid w:val="00E07C77"/>
    <w:rsid w:val="00E2696A"/>
    <w:rsid w:val="00E41BB2"/>
    <w:rsid w:val="00E463CC"/>
    <w:rsid w:val="00E60602"/>
    <w:rsid w:val="00E665A0"/>
    <w:rsid w:val="00E66EA9"/>
    <w:rsid w:val="00E76CD6"/>
    <w:rsid w:val="00E80B2A"/>
    <w:rsid w:val="00EA36AD"/>
    <w:rsid w:val="00EB538F"/>
    <w:rsid w:val="00EB5E48"/>
    <w:rsid w:val="00EB6923"/>
    <w:rsid w:val="00EF160C"/>
    <w:rsid w:val="00EF651B"/>
    <w:rsid w:val="00F02F01"/>
    <w:rsid w:val="00F07A35"/>
    <w:rsid w:val="00F11AF8"/>
    <w:rsid w:val="00F12482"/>
    <w:rsid w:val="00F1350B"/>
    <w:rsid w:val="00F35159"/>
    <w:rsid w:val="00F4518F"/>
    <w:rsid w:val="00F62D3E"/>
    <w:rsid w:val="00F81FB3"/>
    <w:rsid w:val="00F91E69"/>
    <w:rsid w:val="00F95842"/>
    <w:rsid w:val="00FA4B34"/>
    <w:rsid w:val="00FD3F28"/>
    <w:rsid w:val="00FD4626"/>
    <w:rsid w:val="00FE2FF5"/>
    <w:rsid w:val="00FE56AA"/>
    <w:rsid w:val="02732838"/>
    <w:rsid w:val="064F5E3F"/>
    <w:rsid w:val="067957D6"/>
    <w:rsid w:val="068A3911"/>
    <w:rsid w:val="096C492A"/>
    <w:rsid w:val="097522A9"/>
    <w:rsid w:val="09855647"/>
    <w:rsid w:val="09CD4FA8"/>
    <w:rsid w:val="09FA5C38"/>
    <w:rsid w:val="0E491358"/>
    <w:rsid w:val="0ECF438B"/>
    <w:rsid w:val="0ED079FD"/>
    <w:rsid w:val="0ED24ECB"/>
    <w:rsid w:val="108D0923"/>
    <w:rsid w:val="1211008B"/>
    <w:rsid w:val="12A23A92"/>
    <w:rsid w:val="138B4249"/>
    <w:rsid w:val="13A30E69"/>
    <w:rsid w:val="13FE28CE"/>
    <w:rsid w:val="152C07E5"/>
    <w:rsid w:val="15BF2C93"/>
    <w:rsid w:val="161A756B"/>
    <w:rsid w:val="17C32281"/>
    <w:rsid w:val="19A5017C"/>
    <w:rsid w:val="1A5A512F"/>
    <w:rsid w:val="1D292A9C"/>
    <w:rsid w:val="1D453032"/>
    <w:rsid w:val="1D994FC6"/>
    <w:rsid w:val="1DED4924"/>
    <w:rsid w:val="1EE418F9"/>
    <w:rsid w:val="1F1A3BC0"/>
    <w:rsid w:val="21E94A8E"/>
    <w:rsid w:val="240D6541"/>
    <w:rsid w:val="2651710C"/>
    <w:rsid w:val="28E10EB3"/>
    <w:rsid w:val="2B4D5FAE"/>
    <w:rsid w:val="2B576CA8"/>
    <w:rsid w:val="2C5F4270"/>
    <w:rsid w:val="2F51780D"/>
    <w:rsid w:val="308E2CE7"/>
    <w:rsid w:val="30C303CC"/>
    <w:rsid w:val="327A7D8C"/>
    <w:rsid w:val="329F5BB7"/>
    <w:rsid w:val="341F714B"/>
    <w:rsid w:val="35C87400"/>
    <w:rsid w:val="360F31D2"/>
    <w:rsid w:val="39215E14"/>
    <w:rsid w:val="3A1451FA"/>
    <w:rsid w:val="3A390954"/>
    <w:rsid w:val="3C752596"/>
    <w:rsid w:val="3F6B27EA"/>
    <w:rsid w:val="437A247B"/>
    <w:rsid w:val="43E41CDA"/>
    <w:rsid w:val="47CB0D4D"/>
    <w:rsid w:val="49AA3EC1"/>
    <w:rsid w:val="4C230C61"/>
    <w:rsid w:val="4DE04BB5"/>
    <w:rsid w:val="4E3236AB"/>
    <w:rsid w:val="517F7818"/>
    <w:rsid w:val="52E136B7"/>
    <w:rsid w:val="544F06C7"/>
    <w:rsid w:val="55997FD6"/>
    <w:rsid w:val="57DD4EC8"/>
    <w:rsid w:val="585B658A"/>
    <w:rsid w:val="5B8E2631"/>
    <w:rsid w:val="5D000324"/>
    <w:rsid w:val="5E960D54"/>
    <w:rsid w:val="60176481"/>
    <w:rsid w:val="611546EB"/>
    <w:rsid w:val="6215706D"/>
    <w:rsid w:val="632A5F40"/>
    <w:rsid w:val="638A010D"/>
    <w:rsid w:val="64682286"/>
    <w:rsid w:val="652669DC"/>
    <w:rsid w:val="66F5726F"/>
    <w:rsid w:val="67DB46D4"/>
    <w:rsid w:val="6AF46ED1"/>
    <w:rsid w:val="6C4B78BA"/>
    <w:rsid w:val="6C686480"/>
    <w:rsid w:val="6C6C5036"/>
    <w:rsid w:val="6CA33DE5"/>
    <w:rsid w:val="6DBF574D"/>
    <w:rsid w:val="78BC358F"/>
    <w:rsid w:val="79045EB7"/>
    <w:rsid w:val="7BE80191"/>
    <w:rsid w:val="7DD408B3"/>
    <w:rsid w:val="7E187B2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page number" w:semiHidden="0" w:qFormat="1"/>
    <w:lsdException w:name="Title" w:semiHidden="0" w:uiPriority="10" w:unhideWhenUsed="0" w:qFormat="1"/>
    <w:lsdException w:name="Default Paragraph Font" w:semiHidden="0"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semiHidden="0" w:uiPriority="0" w:unhideWhenUsed="0" w:qFormat="1"/>
    <w:lsdException w:name="Normal Table" w:semiHidden="0"/>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1CEF"/>
    <w:pPr>
      <w:widowControl w:val="0"/>
      <w:spacing w:afterLines="3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rsid w:val="00151CEF"/>
    <w:pPr>
      <w:tabs>
        <w:tab w:val="center" w:pos="4153"/>
        <w:tab w:val="right" w:pos="8306"/>
      </w:tabs>
      <w:snapToGrid w:val="0"/>
      <w:jc w:val="left"/>
    </w:pPr>
    <w:rPr>
      <w:rFonts w:eastAsiaTheme="minorEastAsia"/>
      <w:sz w:val="18"/>
      <w:szCs w:val="18"/>
    </w:rPr>
  </w:style>
  <w:style w:type="paragraph" w:styleId="a4">
    <w:name w:val="header"/>
    <w:basedOn w:val="a"/>
    <w:link w:val="Char0"/>
    <w:uiPriority w:val="99"/>
    <w:unhideWhenUsed/>
    <w:qFormat/>
    <w:rsid w:val="00151CEF"/>
    <w:pPr>
      <w:pBdr>
        <w:bottom w:val="single" w:sz="6" w:space="1" w:color="auto"/>
      </w:pBdr>
      <w:tabs>
        <w:tab w:val="center" w:pos="4153"/>
        <w:tab w:val="right" w:pos="8306"/>
      </w:tabs>
      <w:snapToGrid w:val="0"/>
      <w:jc w:val="center"/>
    </w:pPr>
    <w:rPr>
      <w:sz w:val="18"/>
      <w:szCs w:val="18"/>
    </w:rPr>
  </w:style>
  <w:style w:type="paragraph" w:styleId="a5">
    <w:name w:val="Normal (Web)"/>
    <w:basedOn w:val="a"/>
    <w:qFormat/>
    <w:rsid w:val="00151CEF"/>
    <w:pPr>
      <w:widowControl/>
      <w:spacing w:before="100" w:beforeAutospacing="1" w:after="100" w:afterAutospacing="1"/>
      <w:jc w:val="left"/>
    </w:pPr>
    <w:rPr>
      <w:rFonts w:ascii="宋体" w:hAnsi="宋体"/>
      <w:kern w:val="0"/>
      <w:sz w:val="24"/>
      <w:szCs w:val="24"/>
    </w:rPr>
  </w:style>
  <w:style w:type="character" w:styleId="a6">
    <w:name w:val="page number"/>
    <w:basedOn w:val="a0"/>
    <w:uiPriority w:val="99"/>
    <w:unhideWhenUsed/>
    <w:qFormat/>
    <w:rsid w:val="00151CEF"/>
  </w:style>
  <w:style w:type="character" w:customStyle="1" w:styleId="Char">
    <w:name w:val="页脚 Char"/>
    <w:link w:val="a3"/>
    <w:uiPriority w:val="99"/>
    <w:qFormat/>
    <w:locked/>
    <w:rsid w:val="00151CEF"/>
    <w:rPr>
      <w:rFonts w:ascii="Times New Roman" w:hAnsi="Times New Roman" w:cs="Times New Roman"/>
      <w:sz w:val="18"/>
      <w:szCs w:val="18"/>
    </w:rPr>
  </w:style>
  <w:style w:type="character" w:customStyle="1" w:styleId="Char1">
    <w:name w:val="页脚 Char1"/>
    <w:basedOn w:val="a0"/>
    <w:uiPriority w:val="99"/>
    <w:semiHidden/>
    <w:qFormat/>
    <w:rsid w:val="00151CEF"/>
    <w:rPr>
      <w:rFonts w:ascii="Times New Roman" w:eastAsia="宋体" w:hAnsi="Times New Roman" w:cs="Times New Roman"/>
      <w:sz w:val="18"/>
      <w:szCs w:val="18"/>
    </w:rPr>
  </w:style>
  <w:style w:type="paragraph" w:customStyle="1" w:styleId="biaogeleft">
    <w:name w:val="biaoge_left"/>
    <w:basedOn w:val="a"/>
    <w:qFormat/>
    <w:rsid w:val="00151CEF"/>
    <w:pPr>
      <w:widowControl/>
      <w:autoSpaceDE w:val="0"/>
      <w:autoSpaceDN w:val="0"/>
      <w:adjustRightInd w:val="0"/>
      <w:spacing w:before="29" w:line="288" w:lineRule="auto"/>
      <w:ind w:left="15"/>
      <w:jc w:val="left"/>
    </w:pPr>
    <w:rPr>
      <w:rFonts w:ascii="宋体" w:hAnsi="宋体" w:cs="宋体"/>
      <w:kern w:val="0"/>
      <w:sz w:val="24"/>
      <w:szCs w:val="24"/>
    </w:rPr>
  </w:style>
  <w:style w:type="paragraph" w:customStyle="1" w:styleId="zhangjiep2">
    <w:name w:val="zhangjie_p2"/>
    <w:basedOn w:val="a"/>
    <w:qFormat/>
    <w:rsid w:val="00151CEF"/>
    <w:pPr>
      <w:widowControl/>
      <w:autoSpaceDE w:val="0"/>
      <w:autoSpaceDN w:val="0"/>
      <w:adjustRightInd w:val="0"/>
      <w:spacing w:before="24" w:line="288" w:lineRule="auto"/>
      <w:ind w:left="15"/>
      <w:jc w:val="left"/>
    </w:pPr>
    <w:rPr>
      <w:rFonts w:ascii="宋体" w:hAnsi="宋体" w:cs="宋体"/>
      <w:kern w:val="0"/>
      <w:sz w:val="24"/>
      <w:szCs w:val="24"/>
    </w:rPr>
  </w:style>
  <w:style w:type="paragraph" w:customStyle="1" w:styleId="biaogecenter">
    <w:name w:val="biaoge_center"/>
    <w:basedOn w:val="a"/>
    <w:qFormat/>
    <w:rsid w:val="00151CEF"/>
    <w:pPr>
      <w:widowControl/>
      <w:autoSpaceDE w:val="0"/>
      <w:autoSpaceDN w:val="0"/>
      <w:adjustRightInd w:val="0"/>
      <w:spacing w:before="29" w:line="288" w:lineRule="auto"/>
      <w:ind w:left="15"/>
      <w:jc w:val="center"/>
    </w:pPr>
    <w:rPr>
      <w:rFonts w:ascii="宋体" w:hAnsi="宋体" w:cs="宋体"/>
      <w:kern w:val="0"/>
      <w:sz w:val="24"/>
      <w:szCs w:val="24"/>
    </w:rPr>
  </w:style>
  <w:style w:type="paragraph" w:customStyle="1" w:styleId="dazhangjie">
    <w:name w:val="dazhangjie"/>
    <w:basedOn w:val="a"/>
    <w:qFormat/>
    <w:rsid w:val="00151CEF"/>
    <w:pPr>
      <w:widowControl/>
      <w:autoSpaceDE w:val="0"/>
      <w:autoSpaceDN w:val="0"/>
      <w:adjustRightInd w:val="0"/>
      <w:spacing w:before="30" w:line="288" w:lineRule="auto"/>
      <w:ind w:left="15"/>
      <w:jc w:val="center"/>
      <w:outlineLvl w:val="0"/>
    </w:pPr>
    <w:rPr>
      <w:rFonts w:ascii="宋体" w:hAnsi="宋体" w:cs="宋体"/>
      <w:kern w:val="0"/>
      <w:sz w:val="24"/>
      <w:szCs w:val="24"/>
    </w:rPr>
  </w:style>
  <w:style w:type="paragraph" w:customStyle="1" w:styleId="1">
    <w:name w:val="正文1"/>
    <w:qFormat/>
    <w:rsid w:val="00151CEF"/>
    <w:pPr>
      <w:jc w:val="both"/>
    </w:pPr>
    <w:rPr>
      <w:kern w:val="2"/>
      <w:sz w:val="21"/>
      <w:szCs w:val="21"/>
    </w:rPr>
  </w:style>
  <w:style w:type="paragraph" w:customStyle="1" w:styleId="biaogeright">
    <w:name w:val="biaoge_right"/>
    <w:basedOn w:val="a"/>
    <w:qFormat/>
    <w:rsid w:val="00151CEF"/>
    <w:pPr>
      <w:widowControl/>
      <w:autoSpaceDE w:val="0"/>
      <w:autoSpaceDN w:val="0"/>
      <w:adjustRightInd w:val="0"/>
      <w:spacing w:before="29" w:line="288" w:lineRule="auto"/>
      <w:ind w:left="15"/>
      <w:jc w:val="right"/>
    </w:pPr>
    <w:rPr>
      <w:rFonts w:ascii="宋体" w:hAnsi="宋体" w:cs="宋体"/>
      <w:kern w:val="0"/>
      <w:sz w:val="24"/>
      <w:szCs w:val="24"/>
    </w:rPr>
  </w:style>
  <w:style w:type="paragraph" w:customStyle="1" w:styleId="neirong">
    <w:name w:val="neirong"/>
    <w:basedOn w:val="a"/>
    <w:qFormat/>
    <w:rsid w:val="00151CEF"/>
    <w:pPr>
      <w:widowControl/>
      <w:autoSpaceDE w:val="0"/>
      <w:autoSpaceDN w:val="0"/>
      <w:adjustRightInd w:val="0"/>
      <w:spacing w:before="29" w:line="288" w:lineRule="auto"/>
      <w:ind w:left="15"/>
      <w:jc w:val="left"/>
    </w:pPr>
    <w:rPr>
      <w:rFonts w:ascii="宋体" w:hAnsi="宋体" w:cs="宋体"/>
      <w:kern w:val="0"/>
      <w:sz w:val="24"/>
      <w:szCs w:val="24"/>
    </w:rPr>
  </w:style>
  <w:style w:type="paragraph" w:customStyle="1" w:styleId="zhangjiep">
    <w:name w:val="zhangjie_p"/>
    <w:basedOn w:val="a"/>
    <w:qFormat/>
    <w:rsid w:val="00151CEF"/>
    <w:pPr>
      <w:widowControl/>
      <w:autoSpaceDE w:val="0"/>
      <w:autoSpaceDN w:val="0"/>
      <w:adjustRightInd w:val="0"/>
      <w:spacing w:before="24" w:line="288" w:lineRule="auto"/>
      <w:ind w:left="15"/>
      <w:jc w:val="left"/>
      <w:outlineLvl w:val="1"/>
    </w:pPr>
    <w:rPr>
      <w:rFonts w:ascii="宋体" w:hAnsi="宋体" w:cs="宋体"/>
      <w:kern w:val="0"/>
      <w:sz w:val="24"/>
      <w:szCs w:val="24"/>
    </w:rPr>
  </w:style>
  <w:style w:type="paragraph" w:customStyle="1" w:styleId="Default">
    <w:name w:val="Default"/>
    <w:qFormat/>
    <w:rsid w:val="00151CEF"/>
    <w:pPr>
      <w:widowControl w:val="0"/>
      <w:autoSpaceDE w:val="0"/>
      <w:autoSpaceDN w:val="0"/>
      <w:adjustRightInd w:val="0"/>
    </w:pPr>
    <w:rPr>
      <w:rFonts w:ascii="宋体" w:cs="宋体"/>
      <w:color w:val="000000"/>
      <w:sz w:val="24"/>
      <w:szCs w:val="24"/>
    </w:rPr>
  </w:style>
  <w:style w:type="character" w:customStyle="1" w:styleId="Char0">
    <w:name w:val="页眉 Char"/>
    <w:basedOn w:val="a0"/>
    <w:link w:val="a4"/>
    <w:uiPriority w:val="99"/>
    <w:qFormat/>
    <w:rsid w:val="00151CEF"/>
    <w:rPr>
      <w:rFonts w:ascii="Times New Roman"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no"?><Relationships xmlns="http://schemas.openxmlformats.org/package/2006/relationships"><Relationship Id="rId1" Target="../customXml/item1.xml" Type="http://schemas.openxmlformats.org/officeDocument/2006/relationships/customXml"/><Relationship Id="rId10" Target="footer2.xml" Type="http://schemas.openxmlformats.org/officeDocument/2006/relationships/footer"/><Relationship Id="rId11" Target="header3.xml" Type="http://schemas.openxmlformats.org/officeDocument/2006/relationships/header"/><Relationship Id="rId12" Target="footer3.xml" Type="http://schemas.openxmlformats.org/officeDocument/2006/relationships/footer"/><Relationship Id="rId13" Target="fontTable.xml" Type="http://schemas.openxmlformats.org/officeDocument/2006/relationships/fontTable"/><Relationship Id="rId14"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eader1.xml" Type="http://schemas.openxmlformats.org/officeDocument/2006/relationships/header"/><Relationship Id="rId8" Target="header2.xml" Type="http://schemas.openxmlformats.org/officeDocument/2006/relationships/header"/><Relationship Id="rId9" Target="footer1.xml" Type="http://schemas.openxmlformats.org/officeDocument/2006/relationships/footer"/></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no"?><Relationships xmlns="http://schemas.openxmlformats.org/package/2006/relationships"><Relationship Id="rId1" Target="itemProps1.xml" Type="http://schemas.openxmlformats.org/officeDocument/2006/relationships/customXmlProps"/></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7</Pages>
  <Words>389</Words>
  <Characters>2221</Characters>
  <Application>Microsoft Office Word</Application>
  <DocSecurity>0</DocSecurity>
  <Lines>18</Lines>
  <Paragraphs>5</Paragraphs>
  <ScaleCrop>false</ScaleCrop>
  <Company>cc</Company>
  <LinksUpToDate>false</LinksUpToDate>
  <CharactersWithSpaces>2605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2022-08-03T07:42:00Z</dcterms:created>
  <dc:creator>演示人</dc:creator>
  <cp:lastModifiedBy>yytx</cp:lastModifiedBy>
  <dcterms:modified xsi:type="dcterms:W3CDTF">2026-03-27T09:09:00Z</dcterms:modified>
  <cp:revision>120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y fmtid="{D5CDD505-2E9C-101B-9397-08002B2CF9AE}" pid="3" name="ICV">
    <vt:lpwstr>65B57D7BDF384424A76A3B84B5FDE380</vt:lpwstr>
  </property>
</Properties>
</file>