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Z7003225000405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846,325,920.00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445,142,356.29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121,705,540.47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247,985,116.69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2,853,522.64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YF30253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39,488,658.47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Y30253份额净值为1.0123元，Y31253份额净值为1.0129元，Y32253份额净值为1.0134元，YB30253份额净值为1.0136元，YF30253份额净值为1.0134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93.58%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6.42%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XTDKX202601140021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424,681,727.40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264,407,156.72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85,226,608.28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59,310,499.63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24,046,683.68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0101090000003970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101651.60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7151.83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3385.14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