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南银理财珠联璧合鑫逸稳两年156期封闭式公募人民币理财产品</w:t>
      </w: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2026</w:t>
      </w:r>
      <w:r>
        <w:rPr>
          <w:rFonts w:ascii="方正黑体简体" w:eastAsia="方正黑体简体" w:hAnsi="Calibri" w:hint="eastAsia"/>
          <w:sz w:val="36"/>
        </w:rPr>
        <w:t>年第</w:t>
      </w:r>
      <w:r>
        <w:rPr>
          <w:rFonts w:ascii="方正黑体简体" w:eastAsia="方正黑体简体" w:hAnsi="Calibri" w:hint="eastAsia"/>
          <w:sz w:val="36"/>
        </w:rPr>
        <w:t>2</w:t>
      </w:r>
      <w:r>
        <w:rPr>
          <w:rFonts w:ascii="方正黑体简体" w:eastAsia="方正黑体简体" w:hAnsi="Calibri" w:hint="eastAsia"/>
          <w:sz w:val="36"/>
        </w:rPr>
        <w:t>季度报告</w:t>
      </w: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产品管理人</w:t>
      </w:r>
      <w:r>
        <w:rPr>
          <w:rFonts w:ascii="方正仿宋简体" w:eastAsia="方正仿宋简体" w:hint="eastAsia"/>
          <w:b/>
          <w:sz w:val="24"/>
          <w:szCs w:val="24"/>
        </w:rPr>
        <w:t>:南银理财有限责任公司</w:t>
      </w: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产品托管人</w:t>
      </w:r>
      <w:r>
        <w:rPr>
          <w:rFonts w:ascii="方正仿宋简体" w:eastAsia="方正仿宋简体" w:hint="eastAsia"/>
          <w:b/>
          <w:sz w:val="24"/>
          <w:szCs w:val="24"/>
        </w:rPr>
        <w:t>:南京银行股份有限公司</w:t>
      </w:r>
    </w:p>
    <w:p w:rsidR="00151CEF" w:rsidRDefault="00151CEF">
      <w:pPr>
        <w:spacing w:before="240" w:after="72" w:line="360" w:lineRule="auto"/>
        <w:rPr>
          <w:rFonts w:ascii="方正黑体简体" w:eastAsia="方正黑体简体"/>
          <w:sz w:val="36"/>
          <w:szCs w:val="36"/>
        </w:rPr>
      </w:pPr>
    </w:p>
    <w:p w:rsidR="00151CEF" w:rsidRDefault="00151CEF">
      <w:pPr>
        <w:spacing w:before="240" w:after="72" w:line="360" w:lineRule="auto"/>
        <w:rPr>
          <w:rFonts w:ascii="方正黑体简体" w:eastAsia="方正黑体简体"/>
          <w:sz w:val="36"/>
          <w:szCs w:val="36"/>
        </w:rPr>
      </w:pPr>
    </w:p>
    <w:p w:rsidR="00151CEF" w:rsidRDefault="003E5C34">
      <w:pPr>
        <w:widowControl/>
        <w:spacing w:before="240" w:afterLines="0" w:line="360" w:lineRule="auto"/>
        <w:jc w:val="left"/>
        <w:rPr>
          <w:rFonts w:ascii="方正仿宋_GBK" w:eastAsia="方正仿宋_GBK" w:hAnsi="Calibri"/>
          <w:b/>
        </w:rPr>
      </w:pPr>
      <w:r>
        <w:rPr>
          <w:rFonts w:ascii="方正仿宋_GBK" w:eastAsia="方正仿宋_GBK" w:hAnsi="Calibri"/>
          <w:b/>
        </w:rPr>
        <w:br w:type="page"/>
      </w: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lastRenderedPageBreak/>
        <w:t>§</w:t>
      </w:r>
      <w:r>
        <w:rPr>
          <w:rFonts w:ascii="方正仿宋简体" w:eastAsia="方正仿宋简体" w:hint="eastAsia"/>
          <w:b/>
          <w:sz w:val="24"/>
          <w:szCs w:val="24"/>
        </w:rPr>
        <w:t xml:space="preserve">1 </w:t>
      </w:r>
      <w:r>
        <w:rPr>
          <w:rFonts w:ascii="方正仿宋简体" w:eastAsia="方正仿宋简体" w:hint="eastAsia"/>
          <w:b/>
          <w:sz w:val="24"/>
          <w:szCs w:val="24"/>
        </w:rPr>
        <w:t>产品概况</w:t>
      </w:r>
    </w:p>
    <w:tbl>
      <w:tblPr>
        <w:tblpPr w:leftFromText="180" w:rightFromText="180" w:vertAnchor="text" w:tblpY="1"/>
        <w:tblOverlap w:val="neve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2719"/>
        <w:gridCol w:w="6178"/>
      </w:tblGrid>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产品全称</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南银理财珠联璧合鑫逸稳两年156期封闭式公募人民币理财产品</w:t>
            </w:r>
          </w:p>
        </w:tc>
      </w:tr>
      <w:tr w:rsidR="00151CEF">
        <w:trPr>
          <w:trHeight w:val="1300"/>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产品登记编码</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Z7003226000063</w:t>
            </w:r>
            <w:r>
              <w:rPr>
                <w:rFonts w:ascii="方正仿宋简体" w:eastAsia="方正仿宋简体" w:hint="eastAsia"/>
                <w:sz w:val="24"/>
                <w:szCs w:val="24"/>
              </w:rPr>
              <w:t>（投资者可依据该编码在中国理财网</w:t>
            </w:r>
            <w:r>
              <w:rPr>
                <w:rFonts w:ascii="方正仿宋简体" w:eastAsia="方正仿宋简体" w:hint="eastAsia"/>
                <w:sz w:val="24"/>
                <w:szCs w:val="24"/>
              </w:rPr>
              <w:t>www.chinawealth.com.cn</w:t>
            </w:r>
            <w:r>
              <w:rPr>
                <w:rFonts w:ascii="方正仿宋简体" w:eastAsia="方正仿宋简体" w:hint="eastAsia"/>
                <w:sz w:val="24"/>
                <w:szCs w:val="24"/>
              </w:rPr>
              <w:t>查询理财产品相关信息）</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产品运作方式</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封闭式净值型</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产品成立日</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2026年02月11日</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报告期末产品份额总额</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121,433,697.00</w:t>
            </w:r>
            <w:r>
              <w:rPr>
                <w:rFonts w:ascii="方正仿宋简体" w:eastAsia="方正仿宋简体" w:hint="eastAsia"/>
                <w:sz w:val="24"/>
                <w:szCs w:val="24"/>
              </w:rPr>
              <w:t>份</w:t>
            </w:r>
          </w:p>
        </w:tc>
      </w:tr>
      <w:tr w:rsidR="00151CEF">
        <w:trPr>
          <w:trHeight w:val="688"/>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合作机构</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中粮信托有限责任公司,国投泰康信托有限公司,天津信托有限责任公司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产品管理人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产品托管人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南京银行股份有限公司</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2  </w:t>
      </w:r>
      <w:r>
        <w:rPr>
          <w:rFonts w:ascii="方正仿宋简体" w:eastAsia="方正仿宋简体" w:hint="eastAsia"/>
          <w:b/>
          <w:sz w:val="24"/>
          <w:szCs w:val="24"/>
        </w:rPr>
        <w:t>主要财务指标</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2.1 </w:t>
      </w:r>
      <w:r>
        <w:rPr>
          <w:rFonts w:ascii="方正仿宋简体" w:eastAsia="方正仿宋简体" w:hint="eastAsia"/>
          <w:b/>
          <w:sz w:val="24"/>
          <w:szCs w:val="24"/>
        </w:rPr>
        <w:t>主要财务指标</w:t>
      </w:r>
    </w:p>
    <w:p w:rsidR="00151CEF" w:rsidRDefault="003E5C34">
      <w:pPr>
        <w:spacing w:before="240" w:after="72" w:line="360" w:lineRule="auto"/>
        <w:jc w:val="right"/>
        <w:rPr>
          <w:rFonts w:ascii="方正仿宋简体" w:eastAsia="方正仿宋简体"/>
          <w:sz w:val="24"/>
          <w:szCs w:val="24"/>
        </w:rPr>
      </w:pPr>
      <w:r>
        <w:rPr>
          <w:rFonts w:ascii="方正仿宋简体" w:eastAsia="方正仿宋简体" w:hint="eastAsia"/>
          <w:sz w:val="24"/>
          <w:szCs w:val="24"/>
        </w:rPr>
        <w:t>单位：人民币元</w:t>
      </w:r>
    </w:p>
    <w:tbl>
      <w:tblPr>
        <w:tblpPr w:leftFromText="180" w:rightFromText="180" w:vertAnchor="text" w:tblpXSpec="center" w:tblpY="1"/>
        <w:tblOverlap w:val="neve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1838"/>
        <w:gridCol w:w="2693"/>
        <w:gridCol w:w="2410"/>
        <w:gridCol w:w="2126"/>
      </w:tblGrid>
      <w:tr w:rsidR="00151CEF">
        <w:trPr>
          <w:trHeight w:val="699"/>
          <w:jc w:val="center"/>
        </w:trPr>
        <w:tc>
          <w:tcPr>
            <w:tcW w:w="1838"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内部销售代码</w:t>
            </w:r>
          </w:p>
        </w:tc>
        <w:tc>
          <w:tcPr>
            <w:tcW w:w="7229" w:type="dxa"/>
            <w:gridSpan w:val="3"/>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w:t>
            </w:r>
            <w:r>
              <w:rPr>
                <w:rFonts w:ascii="方正仿宋简体" w:eastAsia="方正仿宋简体" w:hint="eastAsia"/>
                <w:sz w:val="24"/>
                <w:szCs w:val="24"/>
              </w:rPr>
              <w:t>2026年04月01日 - 2026年06月30日</w:t>
            </w:r>
            <w:r>
              <w:rPr>
                <w:rFonts w:ascii="方正仿宋简体" w:eastAsia="方正仿宋简体" w:hint="eastAsia"/>
                <w:sz w:val="24"/>
                <w:szCs w:val="24"/>
              </w:rPr>
              <w:t>）</w:t>
            </w:r>
          </w:p>
        </w:tc>
      </w:tr>
      <w:tr w:rsidR="00151CEF">
        <w:trPr>
          <w:trHeight w:val="1697"/>
          <w:jc w:val="center"/>
        </w:trPr>
        <w:tc>
          <w:tcPr>
            <w:tcW w:w="1838" w:type="dxa"/>
            <w:vMerge/>
            <w:vAlign w:val="center"/>
          </w:tcPr>
          <w:p w:rsidR="00151CEF" w:rsidRDefault="00151CEF" w:rsidP="008B1379">
            <w:pPr>
              <w:spacing w:beforeLines="20" w:afterLines="20"/>
              <w:jc w:val="center"/>
              <w:rPr>
                <w:rFonts w:ascii="方正仿宋简体" w:eastAsia="方正仿宋简体"/>
                <w:sz w:val="24"/>
                <w:szCs w:val="24"/>
              </w:rPr>
            </w:pPr>
          </w:p>
        </w:tc>
        <w:tc>
          <w:tcPr>
            <w:tcW w:w="269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w:t>
            </w:r>
            <w:r>
              <w:rPr>
                <w:rFonts w:ascii="方正仿宋简体" w:eastAsia="方正仿宋简体" w:hint="eastAsia"/>
                <w:sz w:val="24"/>
                <w:szCs w:val="24"/>
              </w:rPr>
              <w:t>期末产品最后一个市场交易日资产净值</w:t>
            </w:r>
          </w:p>
        </w:tc>
        <w:tc>
          <w:tcPr>
            <w:tcW w:w="241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r>
              <w:rPr>
                <w:rFonts w:ascii="方正仿宋简体" w:eastAsia="方正仿宋简体" w:hint="eastAsia"/>
                <w:sz w:val="24"/>
                <w:szCs w:val="24"/>
              </w:rPr>
              <w:t>期末产品最后一个市场交易日份额净值</w:t>
            </w:r>
          </w:p>
        </w:tc>
        <w:tc>
          <w:tcPr>
            <w:tcW w:w="212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r>
              <w:rPr>
                <w:rFonts w:ascii="方正仿宋简体" w:eastAsia="方正仿宋简体" w:hint="eastAsia"/>
                <w:sz w:val="24"/>
                <w:szCs w:val="24"/>
              </w:rPr>
              <w:t>期末产品最后一个市场交易日份额累计净值</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Y60156</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66,047,897.16</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1.0077</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1.0077</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Y61156</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50,388,178.84</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1.0081</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1.0081</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Y62156</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5,963,801.95</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1.0085</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1.0085</w:t>
            </w:r>
          </w:p>
        </w:tc>
      </w:tr>
    </w:tbl>
    <w:p w:rsidR="00151CEF" w:rsidRDefault="003E5C34">
      <w:pPr>
        <w:pStyle w:val="biaogeleft"/>
        <w:spacing w:before="240" w:after="72" w:line="360" w:lineRule="auto"/>
        <w:ind w:left="0"/>
        <w:rPr>
          <w:rFonts w:ascii="方正仿宋简体" w:eastAsia="方正仿宋简体" w:hAnsi="Times New Roman" w:cs="Times New Roman"/>
          <w:kern w:val="2"/>
        </w:rPr>
      </w:pPr>
      <w:r>
        <w:rPr>
          <w:rFonts w:ascii="方正仿宋简体" w:eastAsia="方正仿宋简体" w:hAnsi="Times New Roman" w:cs="Times New Roman" w:hint="eastAsia"/>
          <w:kern w:val="2"/>
        </w:rPr>
        <w:t>注：产品净值可能存在未扣除管理人及投资合作机构业绩报酬、赎回费等费用（如有）的情况，实际收益以兑付为准。</w:t>
      </w:r>
    </w:p>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3  </w:t>
      </w:r>
      <w:r>
        <w:rPr>
          <w:rFonts w:ascii="方正仿宋简体" w:eastAsia="方正仿宋简体" w:hint="eastAsia"/>
          <w:b/>
          <w:sz w:val="24"/>
          <w:szCs w:val="24"/>
        </w:rPr>
        <w:t>管理人报告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3.1 </w:t>
      </w:r>
      <w:r>
        <w:rPr>
          <w:rFonts w:ascii="方正仿宋简体" w:eastAsia="方正仿宋简体" w:hint="eastAsia"/>
          <w:b/>
          <w:sz w:val="24"/>
          <w:szCs w:val="24"/>
        </w:rPr>
        <w:t>报告期内产品的投资策略和运作分析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hint="eastAsia"/>
          <w:sz w:val="24"/>
          <w:szCs w:val="24"/>
        </w:rPr>
        <w:t>  2026年二季度债市整体呈震荡走强格局，长短端收益率同步下行，信用利差普遍收窄。经济基本面呈现"K型分化"特征，生产强、需求弱并存，二季度GDP增速回落至4.5%附近，内需修复仍偏温和，基本面为债市提供核心支撑。货币政策维持适度宽松基调，4-5月资金极度宽松推动短端收益率大幅下行，6月资金面回归均衡宽松、隔夜利率一度上行至政策利率附近，但陆家嘴论坛释放利率走廊收窄信号重新提振市场信心。机构配置方面，高息存款到期高峰推动"资产荒"成为市场主线，近三分之二信用债收益率已降至1.8%以内。市场表现上，1年期国债收益率下行12BP至1.10%附近，10年期国债下行9BP、季末在1.70%-1.75%区间震荡，30年期国债下行13BP，信用利差压缩至历史低位。</w:t>
        <w:br w:type="textWrapping" w:clear="all"/>
      </w:r>
      <w:r>
        <w:rPr>
          <w:rFonts w:ascii="方正仿宋简体" w:eastAsia="方正仿宋简体" w:hint="eastAsia"/>
          <w:sz w:val="24"/>
          <w:szCs w:val="24"/>
        </w:rPr>
        <w:t>  展望三季度，债市大概率维持震荡偏强格局，利率中枢有望小幅下移但空间有限。基本面方面，经济K型分化延续，传统经济融资需求走弱加剧资产缺口，货币政策宽松取向不变，央行接受利率有克制地平稳下行.计10年期国债运行区间在1.60%-1.80%,策略上保持多头思维，短端品种确定性较强仍相对占优，组合久期阶段性保持中性偏高以捕捉利率下行机会，在震荡调整中把握逢高配置窗口。</w:t>
        <w:br w:type="textWrapping" w:clear="all"/>
      </w:r>
      <w:r>
        <w:rPr>
          <w:rFonts w:ascii="方正仿宋简体" w:eastAsia="方正仿宋简体" w:hint="eastAsia"/>
          <w:sz w:val="24"/>
          <w:szCs w:val="24"/>
        </w:rPr>
        <w:t>  操作方面，坚持稳健运作的投资理念，对于利差保护较足的信用资产积极配置，同时关注交易活跃品种的波段机会，根据对后市的研判灵活摆布资产久期与杠杆水平，获取稳健的投资回报。</w:t>
      </w:r>
      <w:r>
        <w:rPr>
          <w:rFonts w:ascii="方正仿宋简体" w:eastAsia="方正仿宋简体" w:hint="eastAsia"/>
          <w:sz w:val="24"/>
          <w:szCs w:val="24"/>
        </w:rPr>
        <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3.2 </w:t>
      </w:r>
      <w:r>
        <w:rPr>
          <w:rFonts w:ascii="方正仿宋简体" w:eastAsia="方正仿宋简体" w:hint="eastAsia"/>
          <w:b/>
          <w:sz w:val="24"/>
          <w:szCs w:val="24"/>
        </w:rPr>
        <w:t>报告期内产品的流动性风险分析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sz w:val="24"/>
          <w:szCs w:val="24"/>
        </w:rPr>
        <w:t>  本理财产品主要投向具有良好流动性的标准化债券资产和非标债权资产，其中非标债权资产的投资比例不超过说明书约定的比例上限，资产到期日不晚于本理财产品的到期日，流动性风险可控。</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3.3 </w:t>
      </w:r>
      <w:r>
        <w:rPr>
          <w:rFonts w:ascii="方正仿宋简体" w:eastAsia="方正仿宋简体" w:hint="eastAsia"/>
          <w:b/>
          <w:sz w:val="24"/>
          <w:szCs w:val="24"/>
        </w:rPr>
        <w:t>报告期内产品的业绩表现</w:t>
      </w:r>
    </w:p>
    <w:p w:rsidR="00151CEF" w:rsidRDefault="003E5C34">
      <w:pPr>
        <w:spacing w:before="240" w:after="72" w:line="360" w:lineRule="auto"/>
        <w:ind w:firstLineChars="200" w:firstLine="480"/>
        <w:rPr>
          <w:rFonts w:ascii="方正仿宋简体" w:eastAsia="方正仿宋简体"/>
          <w:sz w:val="24"/>
          <w:szCs w:val="24"/>
        </w:rPr>
      </w:pPr>
      <w:r>
        <w:rPr>
          <w:rFonts w:ascii="方正仿宋简体" w:eastAsia="方正仿宋简体" w:hint="eastAsia"/>
          <w:sz w:val="24"/>
          <w:szCs w:val="24"/>
        </w:rPr>
        <w:t>截至报告期末，本产品</w:t>
      </w:r>
      <w:r>
        <w:rPr>
          <w:rFonts w:ascii="方正仿宋简体" w:eastAsia="方正仿宋简体" w:hint="eastAsia"/>
          <w:sz w:val="24"/>
          <w:szCs w:val="24"/>
        </w:rPr>
        <w:t>Y60156份额净值为1.0077元，Y61156份额净值为1.0081元，Y62156份额净值为1.0085</w:t>
      </w:r>
      <w:r>
        <w:rPr>
          <w:rFonts w:ascii="方正仿宋简体" w:eastAsia="方正仿宋简体" w:hint="eastAsia"/>
          <w:sz w:val="24"/>
          <w:szCs w:val="24"/>
        </w:rPr>
        <w:t>元。</w:t>
      </w:r>
    </w:p>
    <w:p w:rsidR="00151CEF" w:rsidRDefault="00151CEF">
      <w:pPr>
        <w:spacing w:before="240" w:after="72" w:line="360" w:lineRule="auto"/>
        <w:rPr>
          <w:rFonts w:ascii="方正仿宋_GBK" w:eastAsia="方正仿宋_GBK" w:hAnsi="宋体"/>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4  </w:t>
      </w:r>
      <w:r>
        <w:rPr>
          <w:rFonts w:ascii="方正仿宋简体" w:eastAsia="方正仿宋简体" w:hint="eastAsia"/>
          <w:b/>
          <w:sz w:val="24"/>
          <w:szCs w:val="24"/>
        </w:rPr>
        <w:t>投资组合报告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4.1 </w:t>
      </w:r>
      <w:r>
        <w:rPr>
          <w:rFonts w:ascii="方正仿宋简体" w:eastAsia="方正仿宋简体" w:hint="eastAsia"/>
          <w:b/>
          <w:sz w:val="24"/>
          <w:szCs w:val="24"/>
        </w:rPr>
        <w:t>报告期末产品资产组合情况</w:t>
      </w:r>
    </w:p>
    <w:tbl>
      <w:tblPr>
        <w:tblpPr w:leftFromText="180" w:rightFromText="180" w:vertAnchor="text" w:tblpXSpec="center" w:tblpY="1"/>
        <w:tblOverlap w:val="neve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45"/>
        <w:gridCol w:w="1859"/>
        <w:gridCol w:w="3002"/>
        <w:gridCol w:w="3289"/>
      </w:tblGrid>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资产类别</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穿透前占总资产比例</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穿透后占总资产比例</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lastRenderedPageBreak/>
              <w:t>1</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固定收益类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94.95%</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93.28%</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权益类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6.72%</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商品及金融衍生品类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混合类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5.05%</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合计</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bl>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4.2 </w:t>
      </w:r>
      <w:r>
        <w:rPr>
          <w:rFonts w:ascii="方正仿宋简体" w:eastAsia="方正仿宋简体" w:hint="eastAsia"/>
          <w:b/>
          <w:sz w:val="24"/>
          <w:szCs w:val="24"/>
        </w:rPr>
        <w:t>报告期末按公允价值占产品资产净值比例大小排序的前十名资产投资明细</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50"/>
        <w:gridCol w:w="1581"/>
        <w:gridCol w:w="2712"/>
        <w:gridCol w:w="2052"/>
        <w:gridCol w:w="1807"/>
      </w:tblGrid>
      <w:tr w:rsidR="00151CEF">
        <w:trPr>
          <w:trHeight w:val="1233"/>
          <w:jc w:val="center"/>
        </w:trPr>
        <w:tc>
          <w:tcPr>
            <w:tcW w:w="75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58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代码</w:t>
            </w:r>
          </w:p>
        </w:tc>
        <w:tc>
          <w:tcPr>
            <w:tcW w:w="271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名称</w:t>
            </w:r>
          </w:p>
        </w:tc>
        <w:tc>
          <w:tcPr>
            <w:tcW w:w="205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公允价值（元）</w:t>
            </w:r>
          </w:p>
        </w:tc>
        <w:tc>
          <w:tcPr>
            <w:tcW w:w="180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占产品资产净值比例（％）</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ZJQTT202309150001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中粮信托-鼎兴6号集合资金信托计划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63,199,919.89</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51.63</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XTDKX202602260001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天津信托-信腾31号集合资金信托计划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40,425,571.60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33.03</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ZJQTT202404010022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国投泰康信托福佳7号集合资金信托计划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12,224,262.37</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9.99</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HHQTT202601270003</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国投泰康信托福佳严选1号集合资金信托计划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5,804,593.71</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4.74</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HHQTT202603180001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国投泰康信托福佳严选2号集合资金信托计划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381,110.40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0.31</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4.3</w:t>
      </w:r>
      <w:r>
        <w:rPr>
          <w:rFonts w:ascii="方正仿宋简体" w:eastAsia="方正仿宋简体" w:hint="eastAsia"/>
          <w:b/>
          <w:sz w:val="24"/>
          <w:szCs w:val="24"/>
        </w:rPr>
        <w:t>报告期末非标准化债权类资产明细</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383"/>
        <w:gridCol w:w="1271"/>
        <w:gridCol w:w="876"/>
      </w:tblGrid>
      <w:tr w:rsidR="00151CEF">
        <w:trPr>
          <w:trHeight w:val="107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融资客户</w:t>
            </w:r>
          </w:p>
        </w:tc>
        <w:tc>
          <w:tcPr>
            <w:tcW w:w="127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项目名称</w:t>
            </w:r>
          </w:p>
        </w:tc>
        <w:tc>
          <w:tcPr>
            <w:tcW w:w="154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剩余融资期限（</w:t>
            </w:r>
            <w:r>
              <w:rPr>
                <w:rFonts w:ascii="方正仿宋简体" w:eastAsia="方正仿宋简体"/>
                <w:sz w:val="24"/>
                <w:szCs w:val="24"/>
              </w:rPr>
              <w:t>天）</w:t>
            </w:r>
          </w:p>
        </w:tc>
        <w:tc>
          <w:tcPr>
            <w:tcW w:w="13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到期收益分配</w:t>
            </w:r>
          </w:p>
        </w:tc>
        <w:tc>
          <w:tcPr>
            <w:tcW w:w="127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交易结构</w:t>
            </w:r>
          </w:p>
        </w:tc>
        <w:tc>
          <w:tcPr>
            <w:tcW w:w="87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风险状况</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重庆市微恒科技有限公司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天津信托-信腾31号集合资金信托计划</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428</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按月付息，到期还本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5 </w:t>
      </w:r>
      <w:r>
        <w:rPr>
          <w:rFonts w:ascii="方正仿宋简体" w:eastAsia="方正仿宋简体" w:hint="eastAsia"/>
          <w:b/>
          <w:sz w:val="24"/>
          <w:szCs w:val="24"/>
        </w:rPr>
        <w:t>投资账户信息</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46"/>
        <w:gridCol w:w="1417"/>
        <w:gridCol w:w="2668"/>
        <w:gridCol w:w="1983"/>
        <w:gridCol w:w="1988"/>
      </w:tblGrid>
      <w:tr w:rsidR="00151CEF">
        <w:trPr>
          <w:trHeight w:val="584"/>
          <w:jc w:val="center"/>
        </w:trPr>
        <w:tc>
          <w:tcPr>
            <w:tcW w:w="84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4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账户类型</w:t>
            </w:r>
          </w:p>
        </w:tc>
        <w:tc>
          <w:tcPr>
            <w:tcW w:w="266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账号</w:t>
            </w:r>
          </w:p>
        </w:tc>
        <w:tc>
          <w:tcPr>
            <w:tcW w:w="19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账户名称</w:t>
            </w:r>
          </w:p>
        </w:tc>
        <w:tc>
          <w:tcPr>
            <w:tcW w:w="198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开户单位</w:t>
            </w:r>
          </w:p>
        </w:tc>
      </w:tr>
      <w:tr>
        <w:trPr>
          <w:trHeight w:val="584"/>
          <w:jc w:val="center"/>
        </w:trPr>
        <w:tc>
          <w:tcPr>
            <w:tcW w:w="84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4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托管账户</w:t>
            </w:r>
          </w:p>
        </w:tc>
        <w:tc>
          <w:tcPr>
            <w:tcW w:w="266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0101060000004264</w:t>
            </w:r>
          </w:p>
        </w:tc>
        <w:tc>
          <w:tcPr>
            <w:tcW w:w="19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南银理财珠联璧合鑫逸稳两年156期</w:t>
            </w:r>
          </w:p>
        </w:tc>
        <w:tc>
          <w:tcPr>
            <w:tcW w:w="198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w:t>
            </w:r>
          </w:p>
        </w:tc>
      </w:tr>
    </w:tbl>
    <w:p w:rsidR="00151CEF" w:rsidRDefault="00151CEF">
      <w:pPr>
        <w:spacing w:afterLines="0" w:line="360" w:lineRule="auto"/>
        <w:rPr>
          <w:rFonts w:ascii="方正仿宋_GBK" w:eastAsia="方正仿宋_GBK"/>
          <w:sz w:val="24"/>
          <w:szCs w:val="24"/>
        </w:rPr>
      </w:pPr>
    </w:p>
    <w:p w:rsidR="00151CEF" w:rsidRDefault="00151CEF">
      <w:pPr>
        <w:spacing w:before="240" w:after="72" w:line="360" w:lineRule="auto"/>
        <w:jc w:val="center"/>
        <w:rPr>
          <w:rFonts w:ascii="方正仿宋_GBK" w:eastAsia="方正仿宋_GBK"/>
          <w:b/>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6 </w:t>
      </w:r>
      <w:r>
        <w:rPr>
          <w:rFonts w:ascii="方正仿宋简体" w:eastAsia="方正仿宋简体" w:hint="eastAsia"/>
          <w:b/>
          <w:sz w:val="24"/>
          <w:szCs w:val="24"/>
        </w:rPr>
        <w:t>关联交易情况</w:t>
      </w:r>
    </w:p>
    <w:p w:rsidR="00151CEF" w:rsidRDefault="008B1379">
      <w:pPr>
        <w:spacing w:before="240" w:after="72" w:line="360" w:lineRule="auto"/>
        <w:rPr>
          <w:rFonts w:ascii="方正仿宋简体" w:eastAsia="方正仿宋简体"/>
          <w:b/>
          <w:sz w:val="24"/>
          <w:szCs w:val="24"/>
        </w:rPr>
      </w:pPr>
      <w:r>
        <w:rPr>
          <w:rFonts w:ascii="方正仿宋简体" w:eastAsia="方正仿宋简体" w:hint="eastAsia"/>
          <w:b/>
          <w:sz w:val="24"/>
          <w:szCs w:val="24"/>
        </w:rPr>
        <w:t>6.1</w:t>
      </w:r>
      <w:r w:rsidR="003E5C34">
        <w:rPr>
          <w:rFonts w:ascii="方正仿宋简体" w:eastAsia="方正仿宋简体" w:hint="eastAsia"/>
          <w:b/>
          <w:sz w:val="24"/>
          <w:szCs w:val="24"/>
        </w:rPr>
        <w:t>产品投资于关联方发行的证券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E665A0">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2</w:t>
      </w:r>
      <w:r w:rsidR="003E5C34">
        <w:rPr>
          <w:rFonts w:ascii="方正仿宋简体" w:eastAsia="方正仿宋简体" w:hint="eastAsia"/>
          <w:b/>
          <w:sz w:val="24"/>
          <w:szCs w:val="24"/>
        </w:rPr>
        <w:t>产品投资于关联方承销的证券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F5F55">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.3</w:t>
      </w:r>
      <w:r w:rsidR="003E5C34">
        <w:rPr>
          <w:rFonts w:ascii="方正仿宋简体" w:eastAsia="方正仿宋简体" w:hint="eastAsia"/>
          <w:b/>
          <w:sz w:val="24"/>
          <w:szCs w:val="24"/>
        </w:rPr>
        <w:t>产品投资于关联方发行的资产管理产品</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w:t>
            </w:r>
            <w:bookmarkStart w:id="0" w:name="_GoBack"/>
            <w:bookmarkEnd w:id="0"/>
            <w:r>
              <w:rPr>
                <w:rFonts w:ascii="方正仿宋简体" w:eastAsia="方正仿宋简体" w:hint="eastAsia"/>
                <w:sz w:val="24"/>
                <w:szCs w:val="24"/>
              </w:rPr>
              <w:t>资产管理产品</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F1350B">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.4</w:t>
      </w:r>
      <w:r w:rsidR="003E5C34">
        <w:rPr>
          <w:rFonts w:ascii="方正仿宋简体" w:eastAsia="方正仿宋简体" w:hint="eastAsia"/>
          <w:b/>
          <w:sz w:val="24"/>
          <w:szCs w:val="24"/>
        </w:rPr>
        <w:t>其他关联交易</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2117"/>
        <w:gridCol w:w="3090"/>
        <w:gridCol w:w="2842"/>
      </w:tblGrid>
      <w:tr w:rsidR="00151CEF">
        <w:trPr>
          <w:trHeight w:val="104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21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交易类型</w:t>
            </w:r>
          </w:p>
        </w:tc>
        <w:tc>
          <w:tcPr>
            <w:tcW w:w="309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w:t>
            </w:r>
            <w:r>
              <w:rPr>
                <w:rFonts w:ascii="方正仿宋简体" w:eastAsia="方正仿宋简体" w:hint="eastAsia"/>
                <w:sz w:val="24"/>
                <w:szCs w:val="24"/>
              </w:rPr>
              <w:t>名称</w:t>
            </w:r>
          </w:p>
        </w:tc>
        <w:tc>
          <w:tcPr>
            <w:tcW w:w="284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15507.17</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丹阳农商行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2442.34</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151CEF">
      <w:pPr>
        <w:spacing w:before="240" w:after="72" w:line="360" w:lineRule="auto"/>
        <w:jc w:val="right"/>
        <w:rPr>
          <w:rFonts w:ascii="方正仿宋_GBK" w:eastAsia="方正仿宋_GBK"/>
          <w:b/>
          <w:sz w:val="24"/>
          <w:szCs w:val="24"/>
        </w:rPr>
      </w:pPr>
    </w:p>
    <w:p w:rsidR="00151CEF" w:rsidRDefault="003E5C34">
      <w:pPr>
        <w:spacing w:before="240" w:after="72" w:line="360" w:lineRule="auto"/>
        <w:jc w:val="right"/>
        <w:rPr>
          <w:rFonts w:ascii="方正仿宋简体" w:eastAsia="方正仿宋简体"/>
          <w:b/>
          <w:sz w:val="24"/>
          <w:szCs w:val="24"/>
        </w:rPr>
      </w:pPr>
      <w:r>
        <w:rPr>
          <w:rFonts w:ascii="方正仿宋简体" w:eastAsia="方正仿宋简体" w:hint="eastAsia"/>
          <w:b/>
          <w:sz w:val="24"/>
          <w:szCs w:val="24"/>
        </w:rPr>
        <w:lastRenderedPageBreak/>
        <w:t>南银理财有限责任公司</w:t>
      </w:r>
    </w:p>
    <w:p w:rsidR="00151CEF" w:rsidRDefault="003E5C34">
      <w:pPr>
        <w:spacing w:before="240" w:after="72" w:line="360" w:lineRule="auto"/>
        <w:jc w:val="right"/>
        <w:rPr>
          <w:rFonts w:ascii="方正仿宋_GBK" w:eastAsia="方正仿宋_GBK"/>
          <w:sz w:val="24"/>
          <w:szCs w:val="24"/>
        </w:rPr>
      </w:pPr>
      <w:r>
        <w:rPr>
          <w:rFonts w:ascii="方正仿宋简体" w:eastAsia="方正仿宋简体" w:hint="eastAsia"/>
          <w:b/>
          <w:sz w:val="24"/>
          <w:szCs w:val="24"/>
        </w:rPr>
        <w:t>2026年06月30日</w:t>
      </w:r>
    </w:p>
    <w:sectPr w:rsidR="00151CEF" w:rsidSect="00151CEF">
      <w:headerReference w:type="even" r:id="rId7"/>
      <w:headerReference w:type="default" r:id="rId8"/>
      <w:footerReference w:type="even" r:id="rId9"/>
      <w:footerReference w:type="default" r:id="rId10"/>
      <w:headerReference w:type="first" r:id="rId11"/>
      <w:footerReference w:type="first" r:id="rId12"/>
      <w:pgSz w:w="11926" w:h="16867"/>
      <w:pgMar w:top="1418" w:right="1418" w:bottom="853" w:left="1418" w:header="851" w:footer="992" w:gutter="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5C34" w:rsidRDefault="003E5C34" w:rsidP="008B1379">
      <w:pPr>
        <w:spacing w:after="72"/>
      </w:pPr>
      <w:r>
        <w:separator/>
      </w:r>
    </w:p>
  </w:endnote>
  <w:endnote w:type="continuationSeparator" w:id="1">
    <w:p w:rsidR="003E5C34" w:rsidRDefault="003E5C34" w:rsidP="008B1379">
      <w:pPr>
        <w:spacing w:after="7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简体">
    <w:altName w:val="Arial Unicode MS"/>
    <w:charset w:val="86"/>
    <w:family w:val="script"/>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方正仿宋简体">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framePr w:wrap="around" w:vAnchor="text" w:hAnchor="margin" w:xAlign="center" w:y="1"/>
      <w:spacing w:after="72"/>
      <w:rPr>
        <w:rStyle w:val="a6"/>
      </w:rPr>
    </w:pPr>
    <w:r>
      <w:fldChar w:fldCharType="begin"/>
    </w:r>
    <w:r w:rsidR="003E5C34">
      <w:rPr>
        <w:rStyle w:val="a6"/>
      </w:rPr>
      <w:instrText xml:space="preserve">PAGE  </w:instrText>
    </w:r>
    <w:r>
      <w:fldChar w:fldCharType="end"/>
    </w:r>
  </w:p>
  <w:p w:rsidR="00151CEF" w:rsidRDefault="00151CEF">
    <w:pPr>
      <w:pStyle w:val="a3"/>
      <w:spacing w:after="7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5C34" w:rsidRDefault="003E5C34" w:rsidP="008B1379">
      <w:pPr>
        <w:spacing w:after="72"/>
      </w:pPr>
      <w:r>
        <w:separator/>
      </w:r>
    </w:p>
  </w:footnote>
  <w:footnote w:type="continuationSeparator" w:id="1">
    <w:p w:rsidR="003E5C34" w:rsidRDefault="003E5C34" w:rsidP="008B1379">
      <w:pPr>
        <w:spacing w:after="7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WYyNWQ5MDZiYWM3OWVhN2E1ZmU3ZDVmOTg3Nzk4MzgifQ=="/>
  </w:docVars>
  <w:rsids>
    <w:rsidRoot w:val="005A7904"/>
    <w:rsid w:val="00012CAC"/>
    <w:rsid w:val="00041771"/>
    <w:rsid w:val="000532CC"/>
    <w:rsid w:val="00063EA9"/>
    <w:rsid w:val="00072345"/>
    <w:rsid w:val="00072AD4"/>
    <w:rsid w:val="00074655"/>
    <w:rsid w:val="00075628"/>
    <w:rsid w:val="0007673D"/>
    <w:rsid w:val="000C0CDF"/>
    <w:rsid w:val="00103A35"/>
    <w:rsid w:val="001129D2"/>
    <w:rsid w:val="00137120"/>
    <w:rsid w:val="00142497"/>
    <w:rsid w:val="00151CEF"/>
    <w:rsid w:val="0018311F"/>
    <w:rsid w:val="001F5F55"/>
    <w:rsid w:val="00201F77"/>
    <w:rsid w:val="00232109"/>
    <w:rsid w:val="00232DB0"/>
    <w:rsid w:val="002344B0"/>
    <w:rsid w:val="00244B70"/>
    <w:rsid w:val="002624BA"/>
    <w:rsid w:val="00262B4B"/>
    <w:rsid w:val="002867ED"/>
    <w:rsid w:val="002A2BCE"/>
    <w:rsid w:val="002A5314"/>
    <w:rsid w:val="002B165D"/>
    <w:rsid w:val="002E3543"/>
    <w:rsid w:val="002E5873"/>
    <w:rsid w:val="002F5C12"/>
    <w:rsid w:val="0031044B"/>
    <w:rsid w:val="00320EE0"/>
    <w:rsid w:val="0032248B"/>
    <w:rsid w:val="00327DCA"/>
    <w:rsid w:val="0034437E"/>
    <w:rsid w:val="00375C09"/>
    <w:rsid w:val="003956D3"/>
    <w:rsid w:val="003B2C2B"/>
    <w:rsid w:val="003C00A0"/>
    <w:rsid w:val="003D3C54"/>
    <w:rsid w:val="003E5C34"/>
    <w:rsid w:val="003F013A"/>
    <w:rsid w:val="0040415E"/>
    <w:rsid w:val="00414B37"/>
    <w:rsid w:val="00427D95"/>
    <w:rsid w:val="00432880"/>
    <w:rsid w:val="00451C56"/>
    <w:rsid w:val="004601C9"/>
    <w:rsid w:val="004633DF"/>
    <w:rsid w:val="004822D3"/>
    <w:rsid w:val="00486D6C"/>
    <w:rsid w:val="00494CBA"/>
    <w:rsid w:val="004B750B"/>
    <w:rsid w:val="004D15C6"/>
    <w:rsid w:val="004E5012"/>
    <w:rsid w:val="004F595C"/>
    <w:rsid w:val="00503A1E"/>
    <w:rsid w:val="00505062"/>
    <w:rsid w:val="005117FF"/>
    <w:rsid w:val="0052308E"/>
    <w:rsid w:val="00524B4A"/>
    <w:rsid w:val="00531855"/>
    <w:rsid w:val="00537A01"/>
    <w:rsid w:val="0055573F"/>
    <w:rsid w:val="00573EE2"/>
    <w:rsid w:val="00595C46"/>
    <w:rsid w:val="005A7904"/>
    <w:rsid w:val="005B5E17"/>
    <w:rsid w:val="005C595B"/>
    <w:rsid w:val="005C763A"/>
    <w:rsid w:val="005D04CF"/>
    <w:rsid w:val="005F4A24"/>
    <w:rsid w:val="006143B7"/>
    <w:rsid w:val="00624BF8"/>
    <w:rsid w:val="00631F68"/>
    <w:rsid w:val="00640498"/>
    <w:rsid w:val="00642207"/>
    <w:rsid w:val="00643B36"/>
    <w:rsid w:val="00650C13"/>
    <w:rsid w:val="00656546"/>
    <w:rsid w:val="00675A8D"/>
    <w:rsid w:val="00676A68"/>
    <w:rsid w:val="00676EE8"/>
    <w:rsid w:val="0068398A"/>
    <w:rsid w:val="0068509B"/>
    <w:rsid w:val="00695491"/>
    <w:rsid w:val="006C7930"/>
    <w:rsid w:val="006D1D83"/>
    <w:rsid w:val="006E3DA2"/>
    <w:rsid w:val="00704BBE"/>
    <w:rsid w:val="007120E8"/>
    <w:rsid w:val="00723B0B"/>
    <w:rsid w:val="0072595B"/>
    <w:rsid w:val="00731D12"/>
    <w:rsid w:val="00735299"/>
    <w:rsid w:val="00735F94"/>
    <w:rsid w:val="00743D27"/>
    <w:rsid w:val="007440B8"/>
    <w:rsid w:val="00751294"/>
    <w:rsid w:val="00763229"/>
    <w:rsid w:val="00766941"/>
    <w:rsid w:val="007672C3"/>
    <w:rsid w:val="007816A9"/>
    <w:rsid w:val="00793EAE"/>
    <w:rsid w:val="00793F12"/>
    <w:rsid w:val="00794F8E"/>
    <w:rsid w:val="007B65F9"/>
    <w:rsid w:val="007C0575"/>
    <w:rsid w:val="007C36B2"/>
    <w:rsid w:val="007D32E0"/>
    <w:rsid w:val="007E2BB3"/>
    <w:rsid w:val="007E50AE"/>
    <w:rsid w:val="007F53C8"/>
    <w:rsid w:val="00801EF3"/>
    <w:rsid w:val="0080768D"/>
    <w:rsid w:val="00810A55"/>
    <w:rsid w:val="00870344"/>
    <w:rsid w:val="00870AE4"/>
    <w:rsid w:val="0087631D"/>
    <w:rsid w:val="00883B64"/>
    <w:rsid w:val="00896D5D"/>
    <w:rsid w:val="008B06B0"/>
    <w:rsid w:val="008B0D1E"/>
    <w:rsid w:val="008B1379"/>
    <w:rsid w:val="008E1A84"/>
    <w:rsid w:val="008F5BE6"/>
    <w:rsid w:val="008F5F21"/>
    <w:rsid w:val="008F6281"/>
    <w:rsid w:val="00902434"/>
    <w:rsid w:val="0093559E"/>
    <w:rsid w:val="009371B9"/>
    <w:rsid w:val="009515A9"/>
    <w:rsid w:val="009800BA"/>
    <w:rsid w:val="0098497E"/>
    <w:rsid w:val="00985734"/>
    <w:rsid w:val="009B41A7"/>
    <w:rsid w:val="009D656A"/>
    <w:rsid w:val="009D6D5E"/>
    <w:rsid w:val="009E2AE4"/>
    <w:rsid w:val="009E6E45"/>
    <w:rsid w:val="009F7125"/>
    <w:rsid w:val="00A21516"/>
    <w:rsid w:val="00A274D5"/>
    <w:rsid w:val="00A60FAC"/>
    <w:rsid w:val="00A72E96"/>
    <w:rsid w:val="00A7691A"/>
    <w:rsid w:val="00AB2343"/>
    <w:rsid w:val="00AB572D"/>
    <w:rsid w:val="00AB5ADF"/>
    <w:rsid w:val="00AC1D30"/>
    <w:rsid w:val="00AE27AA"/>
    <w:rsid w:val="00AE2FD4"/>
    <w:rsid w:val="00AE7758"/>
    <w:rsid w:val="00B0184E"/>
    <w:rsid w:val="00B072C9"/>
    <w:rsid w:val="00B146F0"/>
    <w:rsid w:val="00B23FA8"/>
    <w:rsid w:val="00B30356"/>
    <w:rsid w:val="00B31DA4"/>
    <w:rsid w:val="00B31E80"/>
    <w:rsid w:val="00B40016"/>
    <w:rsid w:val="00B54020"/>
    <w:rsid w:val="00B55F33"/>
    <w:rsid w:val="00B6652C"/>
    <w:rsid w:val="00B74684"/>
    <w:rsid w:val="00B86805"/>
    <w:rsid w:val="00B921B8"/>
    <w:rsid w:val="00BA2C30"/>
    <w:rsid w:val="00BA4534"/>
    <w:rsid w:val="00BB1418"/>
    <w:rsid w:val="00BC2953"/>
    <w:rsid w:val="00BD0BFD"/>
    <w:rsid w:val="00C14418"/>
    <w:rsid w:val="00C4285D"/>
    <w:rsid w:val="00C62A28"/>
    <w:rsid w:val="00CA36B2"/>
    <w:rsid w:val="00CA4B23"/>
    <w:rsid w:val="00CB67FC"/>
    <w:rsid w:val="00CC703B"/>
    <w:rsid w:val="00CF49CF"/>
    <w:rsid w:val="00D0321E"/>
    <w:rsid w:val="00D1704F"/>
    <w:rsid w:val="00D22C40"/>
    <w:rsid w:val="00D35825"/>
    <w:rsid w:val="00D46EBF"/>
    <w:rsid w:val="00D61130"/>
    <w:rsid w:val="00D76555"/>
    <w:rsid w:val="00D873B3"/>
    <w:rsid w:val="00DA576C"/>
    <w:rsid w:val="00DA57F4"/>
    <w:rsid w:val="00DB4AFE"/>
    <w:rsid w:val="00DD2B26"/>
    <w:rsid w:val="00DD60D3"/>
    <w:rsid w:val="00DE6F49"/>
    <w:rsid w:val="00E07C77"/>
    <w:rsid w:val="00E2696A"/>
    <w:rsid w:val="00E41BB2"/>
    <w:rsid w:val="00E463CC"/>
    <w:rsid w:val="00E60602"/>
    <w:rsid w:val="00E665A0"/>
    <w:rsid w:val="00E66EA9"/>
    <w:rsid w:val="00E76CD6"/>
    <w:rsid w:val="00E80B2A"/>
    <w:rsid w:val="00EA36AD"/>
    <w:rsid w:val="00EB538F"/>
    <w:rsid w:val="00EB5E48"/>
    <w:rsid w:val="00EB6923"/>
    <w:rsid w:val="00EF160C"/>
    <w:rsid w:val="00EF651B"/>
    <w:rsid w:val="00F02F01"/>
    <w:rsid w:val="00F07A35"/>
    <w:rsid w:val="00F11AF8"/>
    <w:rsid w:val="00F12482"/>
    <w:rsid w:val="00F1350B"/>
    <w:rsid w:val="00F35159"/>
    <w:rsid w:val="00F4518F"/>
    <w:rsid w:val="00F62D3E"/>
    <w:rsid w:val="00F81FB3"/>
    <w:rsid w:val="00F91E69"/>
    <w:rsid w:val="00F95842"/>
    <w:rsid w:val="00FA4B34"/>
    <w:rsid w:val="00FD3F28"/>
    <w:rsid w:val="00FD4626"/>
    <w:rsid w:val="00FE2FF5"/>
    <w:rsid w:val="00FE56AA"/>
    <w:rsid w:val="02732838"/>
    <w:rsid w:val="064F5E3F"/>
    <w:rsid w:val="067957D6"/>
    <w:rsid w:val="068A3911"/>
    <w:rsid w:val="096C492A"/>
    <w:rsid w:val="097522A9"/>
    <w:rsid w:val="09855647"/>
    <w:rsid w:val="09CD4FA8"/>
    <w:rsid w:val="09FA5C38"/>
    <w:rsid w:val="0E491358"/>
    <w:rsid w:val="0ECF438B"/>
    <w:rsid w:val="0ED079FD"/>
    <w:rsid w:val="0ED24ECB"/>
    <w:rsid w:val="108D0923"/>
    <w:rsid w:val="1211008B"/>
    <w:rsid w:val="12A23A92"/>
    <w:rsid w:val="138B4249"/>
    <w:rsid w:val="13A30E69"/>
    <w:rsid w:val="13FE28CE"/>
    <w:rsid w:val="152C07E5"/>
    <w:rsid w:val="15BF2C93"/>
    <w:rsid w:val="161A756B"/>
    <w:rsid w:val="17C32281"/>
    <w:rsid w:val="19A5017C"/>
    <w:rsid w:val="1A5A512F"/>
    <w:rsid w:val="1D292A9C"/>
    <w:rsid w:val="1D453032"/>
    <w:rsid w:val="1D994FC6"/>
    <w:rsid w:val="1DED4924"/>
    <w:rsid w:val="1EE418F9"/>
    <w:rsid w:val="1F1A3BC0"/>
    <w:rsid w:val="21E94A8E"/>
    <w:rsid w:val="240D6541"/>
    <w:rsid w:val="2651710C"/>
    <w:rsid w:val="28E10EB3"/>
    <w:rsid w:val="2B4D5FAE"/>
    <w:rsid w:val="2B576CA8"/>
    <w:rsid w:val="2C5F4270"/>
    <w:rsid w:val="2F51780D"/>
    <w:rsid w:val="308E2CE7"/>
    <w:rsid w:val="30C303CC"/>
    <w:rsid w:val="327A7D8C"/>
    <w:rsid w:val="329F5BB7"/>
    <w:rsid w:val="341F714B"/>
    <w:rsid w:val="35C87400"/>
    <w:rsid w:val="360F31D2"/>
    <w:rsid w:val="39215E14"/>
    <w:rsid w:val="3A1451FA"/>
    <w:rsid w:val="3A390954"/>
    <w:rsid w:val="3C752596"/>
    <w:rsid w:val="3F6B27EA"/>
    <w:rsid w:val="437A247B"/>
    <w:rsid w:val="43E41CDA"/>
    <w:rsid w:val="47CB0D4D"/>
    <w:rsid w:val="49AA3EC1"/>
    <w:rsid w:val="4C230C61"/>
    <w:rsid w:val="4DE04BB5"/>
    <w:rsid w:val="4E3236AB"/>
    <w:rsid w:val="517F7818"/>
    <w:rsid w:val="52E136B7"/>
    <w:rsid w:val="544F06C7"/>
    <w:rsid w:val="55997FD6"/>
    <w:rsid w:val="57DD4EC8"/>
    <w:rsid w:val="585B658A"/>
    <w:rsid w:val="5B8E2631"/>
    <w:rsid w:val="5D000324"/>
    <w:rsid w:val="5E960D54"/>
    <w:rsid w:val="60176481"/>
    <w:rsid w:val="611546EB"/>
    <w:rsid w:val="6215706D"/>
    <w:rsid w:val="632A5F40"/>
    <w:rsid w:val="638A010D"/>
    <w:rsid w:val="64682286"/>
    <w:rsid w:val="652669DC"/>
    <w:rsid w:val="66F5726F"/>
    <w:rsid w:val="67DB46D4"/>
    <w:rsid w:val="6AF46ED1"/>
    <w:rsid w:val="6C4B78BA"/>
    <w:rsid w:val="6C686480"/>
    <w:rsid w:val="6C6C5036"/>
    <w:rsid w:val="6CA33DE5"/>
    <w:rsid w:val="6DBF574D"/>
    <w:rsid w:val="78BC358F"/>
    <w:rsid w:val="79045EB7"/>
    <w:rsid w:val="7BE80191"/>
    <w:rsid w:val="7DD408B3"/>
    <w:rsid w:val="7E187B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semiHidden="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CEF"/>
    <w:pPr>
      <w:widowControl w:val="0"/>
      <w:spacing w:afterLines="3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51CEF"/>
    <w:pPr>
      <w:tabs>
        <w:tab w:val="center" w:pos="4153"/>
        <w:tab w:val="right" w:pos="8306"/>
      </w:tabs>
      <w:snapToGrid w:val="0"/>
      <w:jc w:val="left"/>
    </w:pPr>
    <w:rPr>
      <w:rFonts w:eastAsiaTheme="minorEastAsia"/>
      <w:sz w:val="18"/>
      <w:szCs w:val="18"/>
    </w:rPr>
  </w:style>
  <w:style w:type="paragraph" w:styleId="a4">
    <w:name w:val="header"/>
    <w:basedOn w:val="a"/>
    <w:link w:val="Char0"/>
    <w:uiPriority w:val="99"/>
    <w:unhideWhenUsed/>
    <w:qFormat/>
    <w:rsid w:val="00151CEF"/>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151CEF"/>
    <w:pPr>
      <w:widowControl/>
      <w:spacing w:before="100" w:beforeAutospacing="1" w:after="100" w:afterAutospacing="1"/>
      <w:jc w:val="left"/>
    </w:pPr>
    <w:rPr>
      <w:rFonts w:ascii="宋体" w:hAnsi="宋体"/>
      <w:kern w:val="0"/>
      <w:sz w:val="24"/>
      <w:szCs w:val="24"/>
    </w:rPr>
  </w:style>
  <w:style w:type="character" w:styleId="a6">
    <w:name w:val="page number"/>
    <w:basedOn w:val="a0"/>
    <w:uiPriority w:val="99"/>
    <w:unhideWhenUsed/>
    <w:qFormat/>
    <w:rsid w:val="00151CEF"/>
  </w:style>
  <w:style w:type="character" w:customStyle="1" w:styleId="Char">
    <w:name w:val="页脚 Char"/>
    <w:link w:val="a3"/>
    <w:uiPriority w:val="99"/>
    <w:qFormat/>
    <w:locked/>
    <w:rsid w:val="00151CEF"/>
    <w:rPr>
      <w:rFonts w:ascii="Times New Roman" w:hAnsi="Times New Roman" w:cs="Times New Roman"/>
      <w:sz w:val="18"/>
      <w:szCs w:val="18"/>
    </w:rPr>
  </w:style>
  <w:style w:type="character" w:customStyle="1" w:styleId="Char1">
    <w:name w:val="页脚 Char1"/>
    <w:basedOn w:val="a0"/>
    <w:uiPriority w:val="99"/>
    <w:semiHidden/>
    <w:qFormat/>
    <w:rsid w:val="00151CEF"/>
    <w:rPr>
      <w:rFonts w:ascii="Times New Roman" w:eastAsia="宋体" w:hAnsi="Times New Roman" w:cs="Times New Roman"/>
      <w:sz w:val="18"/>
      <w:szCs w:val="18"/>
    </w:rPr>
  </w:style>
  <w:style w:type="paragraph" w:customStyle="1" w:styleId="biaogeleft">
    <w:name w:val="biaoge_left"/>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2">
    <w:name w:val="zhangjie_p2"/>
    <w:basedOn w:val="a"/>
    <w:qFormat/>
    <w:rsid w:val="00151CEF"/>
    <w:pPr>
      <w:widowControl/>
      <w:autoSpaceDE w:val="0"/>
      <w:autoSpaceDN w:val="0"/>
      <w:adjustRightInd w:val="0"/>
      <w:spacing w:before="24" w:line="288" w:lineRule="auto"/>
      <w:ind w:left="15"/>
      <w:jc w:val="left"/>
    </w:pPr>
    <w:rPr>
      <w:rFonts w:ascii="宋体" w:hAnsi="宋体" w:cs="宋体"/>
      <w:kern w:val="0"/>
      <w:sz w:val="24"/>
      <w:szCs w:val="24"/>
    </w:rPr>
  </w:style>
  <w:style w:type="paragraph" w:customStyle="1" w:styleId="biaogecenter">
    <w:name w:val="biaoge_center"/>
    <w:basedOn w:val="a"/>
    <w:qFormat/>
    <w:rsid w:val="00151CEF"/>
    <w:pPr>
      <w:widowControl/>
      <w:autoSpaceDE w:val="0"/>
      <w:autoSpaceDN w:val="0"/>
      <w:adjustRightInd w:val="0"/>
      <w:spacing w:before="29" w:line="288" w:lineRule="auto"/>
      <w:ind w:left="15"/>
      <w:jc w:val="center"/>
    </w:pPr>
    <w:rPr>
      <w:rFonts w:ascii="宋体" w:hAnsi="宋体" w:cs="宋体"/>
      <w:kern w:val="0"/>
      <w:sz w:val="24"/>
      <w:szCs w:val="24"/>
    </w:rPr>
  </w:style>
  <w:style w:type="paragraph" w:customStyle="1" w:styleId="dazhangjie">
    <w:name w:val="dazhangjie"/>
    <w:basedOn w:val="a"/>
    <w:qFormat/>
    <w:rsid w:val="00151CEF"/>
    <w:pPr>
      <w:widowControl/>
      <w:autoSpaceDE w:val="0"/>
      <w:autoSpaceDN w:val="0"/>
      <w:adjustRightInd w:val="0"/>
      <w:spacing w:before="30" w:line="288" w:lineRule="auto"/>
      <w:ind w:left="15"/>
      <w:jc w:val="center"/>
      <w:outlineLvl w:val="0"/>
    </w:pPr>
    <w:rPr>
      <w:rFonts w:ascii="宋体" w:hAnsi="宋体" w:cs="宋体"/>
      <w:kern w:val="0"/>
      <w:sz w:val="24"/>
      <w:szCs w:val="24"/>
    </w:rPr>
  </w:style>
  <w:style w:type="paragraph" w:customStyle="1" w:styleId="1">
    <w:name w:val="正文1"/>
    <w:qFormat/>
    <w:rsid w:val="00151CEF"/>
    <w:pPr>
      <w:jc w:val="both"/>
    </w:pPr>
    <w:rPr>
      <w:kern w:val="2"/>
      <w:sz w:val="21"/>
      <w:szCs w:val="21"/>
    </w:rPr>
  </w:style>
  <w:style w:type="paragraph" w:customStyle="1" w:styleId="biaogeright">
    <w:name w:val="biaoge_right"/>
    <w:basedOn w:val="a"/>
    <w:qFormat/>
    <w:rsid w:val="00151CEF"/>
    <w:pPr>
      <w:widowControl/>
      <w:autoSpaceDE w:val="0"/>
      <w:autoSpaceDN w:val="0"/>
      <w:adjustRightInd w:val="0"/>
      <w:spacing w:before="29" w:line="288" w:lineRule="auto"/>
      <w:ind w:left="15"/>
      <w:jc w:val="right"/>
    </w:pPr>
    <w:rPr>
      <w:rFonts w:ascii="宋体" w:hAnsi="宋体" w:cs="宋体"/>
      <w:kern w:val="0"/>
      <w:sz w:val="24"/>
      <w:szCs w:val="24"/>
    </w:rPr>
  </w:style>
  <w:style w:type="paragraph" w:customStyle="1" w:styleId="neirong">
    <w:name w:val="neirong"/>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
    <w:name w:val="zhangjie_p"/>
    <w:basedOn w:val="a"/>
    <w:qFormat/>
    <w:rsid w:val="00151CEF"/>
    <w:pPr>
      <w:widowControl/>
      <w:autoSpaceDE w:val="0"/>
      <w:autoSpaceDN w:val="0"/>
      <w:adjustRightInd w:val="0"/>
      <w:spacing w:before="24" w:line="288" w:lineRule="auto"/>
      <w:ind w:left="15"/>
      <w:jc w:val="left"/>
      <w:outlineLvl w:val="1"/>
    </w:pPr>
    <w:rPr>
      <w:rFonts w:ascii="宋体" w:hAnsi="宋体" w:cs="宋体"/>
      <w:kern w:val="0"/>
      <w:sz w:val="24"/>
      <w:szCs w:val="24"/>
    </w:rPr>
  </w:style>
  <w:style w:type="paragraph" w:customStyle="1" w:styleId="Default">
    <w:name w:val="Default"/>
    <w:qFormat/>
    <w:rsid w:val="00151CEF"/>
    <w:pPr>
      <w:widowControl w:val="0"/>
      <w:autoSpaceDE w:val="0"/>
      <w:autoSpaceDN w:val="0"/>
      <w:adjustRightInd w:val="0"/>
    </w:pPr>
    <w:rPr>
      <w:rFonts w:ascii="宋体" w:cs="宋体"/>
      <w:color w:val="000000"/>
      <w:sz w:val="24"/>
      <w:szCs w:val="24"/>
    </w:rPr>
  </w:style>
  <w:style w:type="character" w:customStyle="1" w:styleId="Char0">
    <w:name w:val="页眉 Char"/>
    <w:basedOn w:val="a0"/>
    <w:link w:val="a4"/>
    <w:uiPriority w:val="99"/>
    <w:qFormat/>
    <w:rsid w:val="00151CEF"/>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389</Words>
  <Characters>2221</Characters>
  <Application>Microsoft Office Word</Application>
  <DocSecurity>0</DocSecurity>
  <Lines>18</Lines>
  <Paragraphs>5</Paragraphs>
  <ScaleCrop>false</ScaleCrop>
  <Company>cc</Company>
  <LinksUpToDate>false</LinksUpToDate>
  <CharactersWithSpaces>2605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2022-08-03T07:42:00Z</dcterms:created>
  <dc:creator>演示人</dc:creator>
  <cp:lastModifiedBy>yytx</cp:lastModifiedBy>
  <dcterms:modified xsi:type="dcterms:W3CDTF">2026-03-27T09:09:00Z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65B57D7BDF384424A76A3B84B5FDE380</vt:lpwstr>
  </property>
</Properties>
</file>