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南银理财珠联璧合鑫逸稳一年259期封闭式公募人民币理财产品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南银理财珠联璧合鑫逸稳一年259期封闭式公募人民币理财产品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Z7003226000052</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2026年02月04日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656,376,240.00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华鑫国际信托有限公司,国投泰康信托有限公司,紫金信托有限责任公司,江苏省国际信托有限责任公司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Y30259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328,621,242.41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Y31259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150,329,289.07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1.0105</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Y32259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132,024,257.41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YB30259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24,777,299.98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1.0111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YD30259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2,311,421.41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YG30259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3,999,046.17</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YH30259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7,702,085.78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YI30259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10,108,911.43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1.0109</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YJ30259</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3,339,764.32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1.0107</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30259份额净值为1.0100元，Y31259份额净值为1.0105元，Y32259份额净值为1.0109元，YB30259份额净值为1.0111元，YD30259份额净值为1.0101元，YG30259份额净值为1.0107元，YH30259份额净值为1.0109元，YI30259份额净值为1.0109元，YJ30259份额净值为1.0107</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97.16%</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90.63%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2.84%</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ZJQTT202301090001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江苏信托鑫盈3号集合资金信托计划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239,037,303.13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36.04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华鑫信托·嘉盈和颜130号集合资金信托计划（第1期）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201,899,173.04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XTDKX202602110021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华鑫信托嘉盈朝夕77号集合资金信托计划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126,779,485.05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19.12</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66,893,410.07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18,851,136.25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10,051,477.25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1.52</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华鑫信托·嘉盈和颜130号集合资金信托计划（第1期）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226</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华鑫信托嘉盈朝夕77号集合资金信托计划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251</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0101030000004213</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南银理财珠联璧合鑫逸稳一年259期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ZJQTT202312130001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9327279.30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10000000.00</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45766.01</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4082.66</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6315.71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