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xsi="http://www.w3.org/2001/XMLSchema-instance">
  <w:body>
    <w:p w:rsidR="004E540D" w:rsidRDefault="004E540D">
      <w:pPr>
        <w:spacing w:before="240" w:after="72" w:line="360" w:lineRule="auto"/>
        <w:rPr>
          <w:rFonts w:asciiTheme="minorEastAsia" w:eastAsiaTheme="minorEastAsia" w:hAnsiTheme="minorEastAsia"/>
        </w:rPr>
      </w:pPr>
    </w:p>
    <w:p w:rsidR="004E540D" w:rsidRDefault="004E540D">
      <w:pPr>
        <w:spacing w:before="240" w:after="72" w:line="360" w:lineRule="auto"/>
        <w:rPr>
          <w:rFonts w:asciiTheme="minorEastAsia" w:eastAsiaTheme="minorEastAsia" w:hAnsiTheme="minorEastAsia"/>
        </w:rPr>
      </w:pPr>
    </w:p>
    <w:p w:rsidR="004E540D" w:rsidRDefault="004E540D">
      <w:pPr>
        <w:spacing w:before="240" w:after="72" w:line="360" w:lineRule="auto"/>
        <w:rPr>
          <w:rFonts w:asciiTheme="minorEastAsia" w:eastAsiaTheme="minorEastAsia" w:hAnsiTheme="minorEastAsia"/>
        </w:rPr>
      </w:pPr>
    </w:p>
    <w:p w:rsidR="004E540D" w:rsidRDefault="00476046">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南银理财添瑞日日聚宝13号现金管理类公募人民币理财产品</w:t>
      </w:r>
    </w:p>
    <w:p w:rsidR="004E540D" w:rsidRDefault="00476046">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E540D">
      <w:pPr>
        <w:spacing w:before="240" w:after="72" w:line="360" w:lineRule="auto"/>
        <w:jc w:val="center"/>
        <w:rPr>
          <w:rFonts w:ascii="方正黑体简体" w:eastAsia="方正黑体简体"/>
          <w:sz w:val="36"/>
          <w:szCs w:val="36"/>
        </w:rPr>
      </w:pPr>
    </w:p>
    <w:p w:rsidR="004E540D" w:rsidRDefault="00476046">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4E540D" w:rsidRDefault="00476046">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4E540D" w:rsidRDefault="004E540D">
      <w:pPr>
        <w:spacing w:before="240" w:after="72" w:line="360" w:lineRule="auto"/>
        <w:rPr>
          <w:rFonts w:ascii="方正黑体简体" w:eastAsia="方正黑体简体"/>
          <w:sz w:val="36"/>
          <w:szCs w:val="36"/>
        </w:rPr>
      </w:pPr>
    </w:p>
    <w:p w:rsidR="004E540D" w:rsidRDefault="004E540D">
      <w:pPr>
        <w:spacing w:before="240" w:after="72" w:line="360" w:lineRule="auto"/>
        <w:rPr>
          <w:rFonts w:ascii="方正黑体简体" w:eastAsia="方正黑体简体"/>
          <w:sz w:val="36"/>
          <w:szCs w:val="36"/>
        </w:rPr>
      </w:pPr>
    </w:p>
    <w:p w:rsidR="004E540D" w:rsidRDefault="00476046">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南银理财添瑞日日聚宝13号现金管理类公募人民币理财产品</w:t>
            </w:r>
          </w:p>
        </w:tc>
      </w:tr>
      <w:tr w:rsidR="004E540D">
        <w:trPr>
          <w:trHeight w:val="1300"/>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Z7003225000119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2025年05月21日</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931,343,850.62</w:t>
            </w:r>
            <w:r>
              <w:rPr>
                <w:rFonts w:ascii="方正仿宋简体" w:eastAsia="方正仿宋简体" w:hint="eastAsia"/>
                <w:sz w:val="24"/>
                <w:szCs w:val="24"/>
              </w:rPr>
              <w:t>份</w:t>
            </w:r>
          </w:p>
        </w:tc>
      </w:tr>
      <w:tr w:rsidR="004E540D">
        <w:trPr>
          <w:trHeight w:val="688"/>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中粮信托有限责任公司,安徽国元信托有限责任公司</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4E540D">
        <w:trPr>
          <w:trHeight w:val="714"/>
        </w:trPr>
        <w:tc>
          <w:tcPr>
            <w:tcW w:w="2719"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4E540D" w:rsidRDefault="00476046" w:rsidP="006E1508">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4E540D" w:rsidRDefault="004E540D">
      <w:pPr>
        <w:spacing w:before="240" w:after="72" w:line="360" w:lineRule="auto"/>
        <w:rPr>
          <w:rFonts w:ascii="方正仿宋_GBK" w:eastAsia="方正仿宋_GBK" w:hAnsi="宋体" w:cs="宋体"/>
          <w:kern w:val="0"/>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4E540D" w:rsidRDefault="00476046">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4E540D">
        <w:trPr>
          <w:trHeight w:val="699"/>
          <w:jc w:val="center"/>
        </w:trPr>
        <w:tc>
          <w:tcPr>
            <w:tcW w:w="1838"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4E540D">
        <w:trPr>
          <w:trHeight w:val="1697"/>
          <w:jc w:val="center"/>
        </w:trPr>
        <w:tc>
          <w:tcPr>
            <w:tcW w:w="1838" w:type="dxa"/>
            <w:vMerge/>
            <w:vAlign w:val="center"/>
          </w:tcPr>
          <w:p w:rsidR="004E540D" w:rsidRDefault="004E540D" w:rsidP="006E1508">
            <w:pPr>
              <w:spacing w:beforeLines="20" w:afterLines="20"/>
              <w:jc w:val="center"/>
              <w:rPr>
                <w:rFonts w:ascii="方正仿宋简体" w:eastAsia="方正仿宋简体"/>
                <w:sz w:val="24"/>
                <w:szCs w:val="24"/>
              </w:rPr>
            </w:pPr>
          </w:p>
        </w:tc>
        <w:tc>
          <w:tcPr>
            <w:tcW w:w="269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NYRR000003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503,996,969.17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NYRR000011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427,346,881.45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w:t>
            </w:r>
          </w:p>
        </w:tc>
      </w:tr>
    </w:tbl>
    <w:p w:rsidR="004E540D" w:rsidRDefault="00476046">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4E540D" w:rsidRDefault="004E540D">
      <w:pPr>
        <w:spacing w:before="240" w:after="72" w:line="360" w:lineRule="auto"/>
        <w:rPr>
          <w:rFonts w:ascii="方正仿宋_GBK" w:eastAsia="方正仿宋_GBK"/>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4E540D" w:rsidRDefault="00476046">
      <w:pPr>
        <w:spacing w:before="240" w:after="72" w:line="360" w:lineRule="auto"/>
        <w:rPr>
          <w:rFonts w:ascii="方正仿宋简体" w:eastAsia="方正仿宋简体"/>
          <w:sz w:val="24"/>
          <w:szCs w:val="24"/>
        </w:rPr>
      </w:pPr>
      <w:r>
        <w:rPr>
          <w:rFonts w:ascii="方正仿宋简体" w:eastAsia="方正仿宋简体" w:hint="eastAsia"/>
          <w:sz w:val="24"/>
          <w:szCs w:val="24"/>
        </w:rPr>
        <w:t>  二季度债市整体震荡走强，呈现"牛平"特征，长端收益率下行幅度大于短端。经济基本面延续弱修复格局，信贷需求持续偏弱，社融存量增速降至7.7%，内需不足与"资产荒"逻辑贯穿全季，为债市提供持续支撑。资金面呈"前松后紧、季末呵护"格局，央行自3月起通过买断式逆回购连续净回笼纠偏前期超宽流动性，6月DR001中枢回升至1.38%，季末首发隔夜逆回购工具平抑跨季波动。国际地缘冲突边际缓和，输入性通胀压力有所减轻。市场表现上，10年期国债收益率由季初1.82%下行9BP至1.73%，季内低点触及1.70%。</w:t>
        <w:br w:type="textWrapping" w:clear="all"/>
      </w:r>
      <w:r>
        <w:rPr>
          <w:rFonts w:ascii="方正仿宋简体" w:eastAsia="方正仿宋简体" w:hint="eastAsia"/>
          <w:sz w:val="24"/>
          <w:szCs w:val="24"/>
        </w:rPr>
        <w:t>  展望三季度，债市大概率延续低位区间震荡格局，10年期国债收益率预计围绕1.70%-1.80%运行。经济基本面内需不足格局短期难改善，信贷增速持续下行深化"资产荒"，对利率形成底部支撑；但10年期国债与政策利率利差已压缩至约33BP的历史低位，进一步下行需降息落地配合。资金面预计中性偏松、波动收敛，DR001围绕1.40%窄幅运行。</w:t>
        <w:br w:type="textWrapping" w:clear="all"/>
      </w:r>
      <w:r>
        <w:rPr>
          <w:rFonts w:ascii="方正仿宋简体" w:eastAsia="方正仿宋简体" w:hint="eastAsia"/>
          <w:sz w:val="24"/>
          <w:szCs w:val="24"/>
        </w:rPr>
        <w:t>  操作方面，产品将严守流动性安全与信用风险底线，深挖短久期品种配置价值，增配高评级同业存单、定期存款等优质标的，灵活运用杠杆增厚收益；同时强化资产甄选能力，动态优化组合久期与资产结构，兼顾流动性、收益性与安全性，以稳健操作保障组合收益稳定，持续提升客户投资体验。</w:t>
      </w:r>
      <w:r>
        <w:rPr>
          <w:rFonts w:ascii="方正仿宋简体" w:eastAsia="方正仿宋简体" w:hint="eastAsia"/>
          <w:sz w:val="24"/>
          <w:szCs w:val="24"/>
        </w:rPr>
        <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4E540D" w:rsidRDefault="00476046">
      <w:pPr>
        <w:spacing w:before="240" w:after="72" w:line="360" w:lineRule="auto"/>
        <w:rPr>
          <w:rFonts w:ascii="方正仿宋简体" w:eastAsia="方正仿宋简体"/>
          <w:sz w:val="24"/>
          <w:szCs w:val="24"/>
        </w:rPr>
      </w:pPr>
      <w:r>
        <w:rPr>
          <w:rFonts w:ascii="方正仿宋简体" w:eastAsia="方正仿宋简体"/>
          <w:sz w:val="24"/>
          <w:szCs w:val="24"/>
        </w:rPr>
        <w:t>  下阶段产品将继续保持稳健的投资风格，做好流动性预判和资产到期分布安排，保持较高的流动性资产比例，防范流动性风险。</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4E540D" w:rsidRDefault="00476046">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NYRR000003份额净值为1.0000元，NYRR000011份额净值为1.0000</w:t>
      </w:r>
      <w:r>
        <w:rPr>
          <w:rFonts w:ascii="方正仿宋简体" w:eastAsia="方正仿宋简体" w:hint="eastAsia"/>
          <w:sz w:val="24"/>
          <w:szCs w:val="24"/>
        </w:rPr>
        <w:t>元。</w:t>
      </w:r>
    </w:p>
    <w:p w:rsidR="004E540D" w:rsidRDefault="004E540D">
      <w:pPr>
        <w:spacing w:before="240" w:after="72" w:line="360" w:lineRule="auto"/>
        <w:rPr>
          <w:rFonts w:ascii="方正仿宋_GBK" w:eastAsia="方正仿宋_GBK" w:hAnsi="宋体"/>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4E540D">
        <w:tc>
          <w:tcPr>
            <w:tcW w:w="745"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4E540D" w:rsidRDefault="004E540D">
      <w:pPr>
        <w:spacing w:before="240" w:after="72" w:line="360" w:lineRule="auto"/>
        <w:rPr>
          <w:rFonts w:ascii="方正仿宋_GBK" w:eastAsia="方正仿宋_GBK"/>
          <w:sz w:val="24"/>
          <w:szCs w:val="24"/>
        </w:rPr>
      </w:pP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4E540D">
        <w:trPr>
          <w:trHeight w:val="1233"/>
          <w:jc w:val="center"/>
        </w:trPr>
        <w:tc>
          <w:tcPr>
            <w:tcW w:w="75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ZJQTT202508180025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422,731,440.41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ZJQTT202308180021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44,823,013.53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国元信托-鑫享2号集合资金信托计划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20,712,462.24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w:t>
            </w:r>
          </w:p>
        </w:tc>
      </w:tr>
    </w:tbl>
    <w:p w:rsidR="004E540D" w:rsidRDefault="004E540D">
      <w:pPr>
        <w:spacing w:before="240" w:after="72" w:line="360" w:lineRule="auto"/>
        <w:rPr>
          <w:rFonts w:ascii="方正仿宋_GBK" w:eastAsia="方正仿宋_GBK" w:hAnsi="宋体" w:cs="宋体"/>
          <w:sz w:val="24"/>
          <w:szCs w:val="24"/>
          <w:shd w:val="clear" w:color="auto" w:fill="FFFFFF"/>
        </w:rPr>
      </w:pPr>
    </w:p>
    <w:p w:rsidR="004E540D" w:rsidRDefault="00476046">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4E540D">
        <w:trPr>
          <w:trHeight w:val="1078"/>
          <w:jc w:val="center"/>
        </w:trPr>
        <w:tc>
          <w:tcPr>
            <w:tcW w:w="87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4E540D">
      <w:pPr>
        <w:spacing w:before="240" w:after="72" w:line="360" w:lineRule="auto"/>
        <w:rPr>
          <w:rFonts w:ascii="方正仿宋_GBK" w:eastAsia="方正仿宋_GBK" w:hAnsi="宋体" w:cs="宋体"/>
          <w:sz w:val="24"/>
          <w:szCs w:val="24"/>
          <w:shd w:val="clear" w:color="auto" w:fill="FFFFFF"/>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4E540D">
        <w:trPr>
          <w:trHeight w:val="584"/>
          <w:jc w:val="center"/>
        </w:trPr>
        <w:tc>
          <w:tcPr>
            <w:tcW w:w="846"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0101070000001496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南银理财添瑞日日聚宝13号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4E540D" w:rsidRDefault="004E540D">
      <w:pPr>
        <w:spacing w:afterLines="0" w:line="360" w:lineRule="auto"/>
        <w:rPr>
          <w:rFonts w:ascii="方正仿宋_GBK" w:eastAsia="方正仿宋_GBK"/>
          <w:sz w:val="24"/>
          <w:szCs w:val="24"/>
        </w:rPr>
      </w:pPr>
    </w:p>
    <w:p w:rsidR="004E540D" w:rsidRDefault="004E540D">
      <w:pPr>
        <w:spacing w:before="240" w:after="72" w:line="360" w:lineRule="auto"/>
        <w:jc w:val="center"/>
        <w:rPr>
          <w:rFonts w:ascii="方正仿宋_GBK" w:eastAsia="方正仿宋_GBK"/>
          <w:b/>
          <w:sz w:val="24"/>
          <w:szCs w:val="24"/>
        </w:rPr>
      </w:pPr>
    </w:p>
    <w:p w:rsidR="004E540D" w:rsidRDefault="00476046">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4E540D" w:rsidRDefault="006E1508">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1</w:t>
      </w:r>
      <w:r w:rsidR="00476046">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264722">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.2</w:t>
      </w:r>
      <w:r w:rsidR="00476046">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5D3524">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.3</w:t>
      </w:r>
      <w:r w:rsidR="00476046">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4E540D">
        <w:trPr>
          <w:trHeight w:val="534"/>
          <w:jc w:val="center"/>
        </w:trPr>
        <w:tc>
          <w:tcPr>
            <w:tcW w:w="877"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4E540D">
        <w:trPr>
          <w:trHeight w:val="534"/>
          <w:jc w:val="center"/>
        </w:trPr>
        <w:tc>
          <w:tcPr>
            <w:tcW w:w="877" w:type="dxa"/>
            <w:vMerge/>
            <w:vAlign w:val="center"/>
          </w:tcPr>
          <w:p w:rsidR="004E540D" w:rsidRDefault="004E540D" w:rsidP="006E1508">
            <w:pPr>
              <w:spacing w:beforeLines="20" w:afterLines="20"/>
              <w:jc w:val="center"/>
            </w:pPr>
          </w:p>
        </w:tc>
        <w:tc>
          <w:tcPr>
            <w:tcW w:w="1704" w:type="dxa"/>
            <w:vMerge/>
            <w:vAlign w:val="center"/>
          </w:tcPr>
          <w:p w:rsidR="004E540D" w:rsidRDefault="004E540D" w:rsidP="006E1508">
            <w:pPr>
              <w:spacing w:beforeLines="20" w:afterLines="20"/>
              <w:jc w:val="center"/>
            </w:pPr>
          </w:p>
        </w:tc>
        <w:tc>
          <w:tcPr>
            <w:tcW w:w="1275" w:type="dxa"/>
            <w:vMerge/>
            <w:vAlign w:val="center"/>
          </w:tcPr>
          <w:p w:rsidR="004E540D" w:rsidRDefault="004E540D" w:rsidP="006E1508">
            <w:pPr>
              <w:spacing w:beforeLines="20" w:afterLines="20"/>
              <w:jc w:val="center"/>
            </w:pPr>
          </w:p>
        </w:tc>
        <w:tc>
          <w:tcPr>
            <w:tcW w:w="1540" w:type="dxa"/>
            <w:vMerge/>
            <w:vAlign w:val="center"/>
          </w:tcPr>
          <w:p w:rsidR="004E540D" w:rsidRDefault="004E540D" w:rsidP="006E1508">
            <w:pPr>
              <w:spacing w:beforeLines="20" w:afterLines="20"/>
              <w:jc w:val="center"/>
            </w:pP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4E540D" w:rsidRDefault="0047014A">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476046">
        <w:rPr>
          <w:rFonts w:ascii="方正仿宋简体" w:eastAsia="方正仿宋简体" w:hint="eastAsia"/>
          <w:b/>
          <w:sz w:val="24"/>
          <w:szCs w:val="24"/>
        </w:rPr>
        <w:t>.4</w:t>
      </w:r>
      <w:r w:rsidR="00476046">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4E540D">
        <w:trPr>
          <w:trHeight w:val="1048"/>
          <w:jc w:val="center"/>
        </w:trPr>
        <w:tc>
          <w:tcPr>
            <w:tcW w:w="87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190.44</w:t>
            </w:r>
          </w:p>
        </w:tc>
      </w:tr>
    </w:tbl>
    <w:p w:rsidR="004E540D" w:rsidRDefault="004E540D">
      <w:pPr>
        <w:spacing w:before="240" w:after="72" w:line="360" w:lineRule="auto"/>
        <w:rPr>
          <w:rFonts w:ascii="方正仿宋简体" w:eastAsia="方正仿宋简体"/>
          <w:b/>
          <w:sz w:val="24"/>
          <w:szCs w:val="24"/>
        </w:rPr>
      </w:pPr>
    </w:p>
    <w:p w:rsidR="004E540D" w:rsidRDefault="00476046" w:rsidP="006E150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7 </w:t>
      </w:r>
      <w:r>
        <w:rPr>
          <w:rFonts w:ascii="方正仿宋简体" w:eastAsia="方正仿宋简体" w:hint="eastAsia"/>
          <w:b/>
          <w:sz w:val="24"/>
          <w:szCs w:val="24"/>
        </w:rPr>
        <w:t>现金管理类理财产品持有份额不低于</w:t>
      </w:r>
      <w:r>
        <w:rPr>
          <w:rFonts w:ascii="方正仿宋简体" w:eastAsia="方正仿宋简体" w:hint="eastAsia"/>
          <w:b/>
          <w:sz w:val="24"/>
          <w:szCs w:val="24"/>
        </w:rPr>
        <w:t>20%</w:t>
      </w:r>
      <w:r>
        <w:rPr>
          <w:rFonts w:ascii="方正仿宋简体" w:eastAsia="方正仿宋简体" w:hint="eastAsia"/>
          <w:b/>
          <w:sz w:val="24"/>
          <w:szCs w:val="24"/>
        </w:rPr>
        <w:t>投资者情况</w:t>
      </w:r>
    </w:p>
    <w:tbl>
      <w:tblPr>
        <w:tblW w:w="11280" w:type="dxa"/>
        <w:jc w:val="center"/>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335"/>
        <w:gridCol w:w="1560"/>
        <w:gridCol w:w="1515"/>
        <w:gridCol w:w="1787"/>
        <w:gridCol w:w="1701"/>
        <w:gridCol w:w="1792"/>
        <w:gridCol w:w="1590"/>
      </w:tblGrid>
      <w:tr w:rsidR="004E540D">
        <w:tc>
          <w:tcPr>
            <w:tcW w:w="1335"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Ansi="Calibri" w:hint="eastAsia"/>
                <w:sz w:val="24"/>
                <w:szCs w:val="24"/>
                <w:shd w:val="clear" w:color="auto" w:fill="FFFFFF"/>
              </w:rPr>
              <w:t>序号</w:t>
            </w:r>
          </w:p>
        </w:tc>
        <w:tc>
          <w:tcPr>
            <w:tcW w:w="1560"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int="eastAsia"/>
                <w:sz w:val="24"/>
                <w:szCs w:val="24"/>
              </w:rPr>
              <w:t>日期</w:t>
            </w:r>
          </w:p>
        </w:tc>
        <w:tc>
          <w:tcPr>
            <w:tcW w:w="1515"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投资者类别</w:t>
            </w:r>
          </w:p>
        </w:tc>
        <w:tc>
          <w:tcPr>
            <w:tcW w:w="1787"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持有份额</w:t>
            </w:r>
          </w:p>
        </w:tc>
        <w:tc>
          <w:tcPr>
            <w:tcW w:w="1701"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sz w:val="24"/>
                <w:szCs w:val="24"/>
              </w:rPr>
              <w:t>占总份额比例</w:t>
            </w:r>
          </w:p>
        </w:tc>
        <w:tc>
          <w:tcPr>
            <w:tcW w:w="1792" w:type="dxa"/>
            <w:vAlign w:val="center"/>
          </w:tcPr>
          <w:p w:rsidR="004E540D" w:rsidRDefault="00476046" w:rsidP="006E1508">
            <w:pPr>
              <w:spacing w:beforeLines="20" w:afterLines="20"/>
              <w:jc w:val="center"/>
              <w:rPr>
                <w:rFonts w:ascii="方正仿宋简体" w:eastAsia="方正仿宋简体"/>
                <w:sz w:val="24"/>
                <w:szCs w:val="24"/>
              </w:rPr>
            </w:pPr>
            <w:r>
              <w:rPr>
                <w:rFonts w:ascii="方正仿宋简体" w:eastAsia="方正仿宋简体"/>
                <w:sz w:val="24"/>
                <w:szCs w:val="24"/>
              </w:rPr>
              <w:t>持有份额</w:t>
            </w:r>
          </w:p>
          <w:p w:rsidR="004E540D" w:rsidRDefault="00476046" w:rsidP="006E1508">
            <w:pPr>
              <w:spacing w:beforeLines="20" w:afterLines="20"/>
              <w:jc w:val="center"/>
              <w:rPr>
                <w:rFonts w:ascii="方正仿宋简体" w:eastAsia="方正仿宋简体"/>
                <w:sz w:val="24"/>
                <w:szCs w:val="24"/>
                <w:shd w:val="clear" w:color="auto" w:fill="FFFFFF"/>
              </w:rPr>
            </w:pPr>
            <w:r>
              <w:rPr>
                <w:rFonts w:ascii="方正仿宋简体" w:eastAsia="方正仿宋简体"/>
                <w:sz w:val="24"/>
                <w:szCs w:val="24"/>
              </w:rPr>
              <w:t>变化情况</w:t>
            </w:r>
          </w:p>
        </w:tc>
        <w:tc>
          <w:tcPr>
            <w:tcW w:w="1590" w:type="dxa"/>
            <w:vAlign w:val="center"/>
          </w:tcPr>
          <w:p w:rsidR="004E540D" w:rsidRDefault="00476046" w:rsidP="006E1508">
            <w:pPr>
              <w:spacing w:before="240" w:after="72" w:line="360" w:lineRule="auto"/>
              <w:jc w:val="center"/>
              <w:rPr>
                <w:rFonts w:ascii="方正仿宋简体" w:eastAsia="方正仿宋简体"/>
                <w:sz w:val="24"/>
                <w:szCs w:val="24"/>
                <w:shd w:val="clear" w:color="auto" w:fill="FFFFFF"/>
              </w:rPr>
            </w:pPr>
            <w:r>
              <w:rPr>
                <w:rFonts w:ascii="方正仿宋简体" w:eastAsia="方正仿宋简体" w:hint="eastAsia"/>
                <w:sz w:val="24"/>
                <w:szCs w:val="24"/>
              </w:rPr>
              <w:t>产品风险</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5001.24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7801.78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41.82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5851.24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31.36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5001.42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7802.05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41.82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5851.44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31.36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7802.32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41.82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5001.6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5851.64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31.36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5001.6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7802.32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41.82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5851.64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31.36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5851.64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31.36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7802.32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41.82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5001.6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5001.6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5851.64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31.36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7802.32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41.82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7737.4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41.61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-64.92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5852.44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31.47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5002.32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26.90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0.72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5852.64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31.47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7737.66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41.61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0.26</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5002.5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26.90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5852.84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31.47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7737.92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41.61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0.26</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2026-04-09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5002.68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26.90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24594.11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24594.11</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24594.11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24594.11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24596.66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31.64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60000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42.19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60002.12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32.25</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2.12</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80002.78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43.01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2.78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405353.48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405353.48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38.70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1200000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25.80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800000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38.70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25.80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25.80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2026-04-19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38.70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800088.57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25.80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88.57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1200132.89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38.70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132.89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800118.16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30.78</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29.59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1200177.28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46.18</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44.39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800147.61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30.68</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29.45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1200221.46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46.02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800177.06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30.62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29.45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1200265.64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45.93</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1200309.83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68.11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44.19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1200309.83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68.11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1200309.83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68.11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1200442.61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67.72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132.78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1200486.85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67.61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44.24</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2026-04-29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1200530.7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65.76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43.85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2026-04-30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40.77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40.77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40.77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40.77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40.77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6515000</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40.77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6516441.53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40.66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1441.53</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6516681.56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43.79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240.03</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6516922.83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45.37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241.27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2026-05-09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6517164.08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43.80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241.25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6517164.08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43.80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6517645.62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43.76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481.54</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69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2360044.57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30.60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86.63</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2360132.75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35.27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88.18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2360221.25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35.69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2360309.8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35.79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88.55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2360309.8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35.79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2360309.8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35.79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2360575.55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35.79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265.75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2026-05-19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2360664.04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38.93</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88.49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2360752.64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38.97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88.6</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2360841.34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37.55</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2360930.33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37.49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88.99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2360930.33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37.49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2360930.33</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37.49</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2361186.89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36.60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256.56</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2361266.62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37.91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79.73</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2361340.71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36.96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74.09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2361430.09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36.96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89.38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2026-05-29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2361519.45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36.96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89.36</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2026-05-30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2361519.45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36.96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2026-05-31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2361519.45</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36.96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2361787.52</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36.96</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268.07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2361876.8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35.84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89.28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2361965.84</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35.87</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89.04</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2362064.69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37.64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98.85</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2362152.69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37.64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88</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2362152.69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37.64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2362152.69</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37.64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96</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2026-06-08</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2362411.58</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37.64</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258.89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97</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2026-06-09</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2362497.37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37.95</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85.79</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98</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2026-06-10</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2362583.6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38.92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86.23</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99</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2026-06-11</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2362676.77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39.71</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93.17</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100</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2026-06-12</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902404.77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22.52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36.51</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101</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2026-06-13</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902404.77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22.52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102</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2026-06-14</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个人</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902404.77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22.52</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0</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103</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2026-06-15</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机构</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5517205.46</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50.00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5517205.46</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104</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2026-06-16</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机构</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5517648.57</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42.10</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443.11</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r>
        <w:trPr xsi:nil="true"/>
        <w:tc>
          <w:tcPr>
            <w:tcW w:w="133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105</w:t>
            </w:r>
          </w:p>
        </w:tc>
        <w:tc>
          <w:tcPr>
            <w:tcW w:w="156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2026-06-17</w:t>
            </w:r>
          </w:p>
        </w:tc>
        <w:tc>
          <w:tcPr>
            <w:tcW w:w="1515"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机构</w:t>
            </w:r>
          </w:p>
        </w:tc>
        <w:tc>
          <w:tcPr>
            <w:tcW w:w="1787"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5517869.31</w:t>
            </w:r>
          </w:p>
        </w:tc>
        <w:tc>
          <w:tcPr>
            <w:tcW w:w="1701"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24.18</w:t>
            </w:r>
          </w:p>
        </w:tc>
        <w:tc>
          <w:tcPr>
            <w:tcW w:w="1792"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220.74</w:t>
            </w:r>
          </w:p>
        </w:tc>
        <w:tc>
          <w:tcPr>
            <w:tcW w:w="1590" w:type="dxa"/>
            <w:vAlign w:val="center"/>
            <w:vAlign w:val="center"/>
          </w:tcPr>
          <w:p>
            <w:pPr>
              <w:spacing w:before="240" w:after="72" w:line="360" w:lineRule="auto"/>
              <w:jc w:val="center"/>
              <w:textAlignment w:val="center"/>
              <w:rPr>
                <w:rFonts w:ascii="方正仿宋简体" w:eastAsia="方正仿宋简体"/>
                <w:sz w:val="24"/>
                <w:szCs w:val="24"/>
                <w:shd w:val="clear" w:color="auto" w:fill="FFFFFF"/>
              </w:rPr>
            </w:pPr>
            <w:r>
              <w:rPr>
                <w:rFonts w:ascii="方正仿宋简体" w:hAnsi="方正仿宋简体" w:cs="方正仿宋简体" w:eastAsia="方正仿宋简体"/>
                <w:sz w:val="24"/>
              </w:rPr>
              <w:t>-</w:t>
            </w:r>
          </w:p>
        </w:tc>
      </w:tr>
    </w:tbl>
    <w:p w:rsidR="004E540D" w:rsidRDefault="004E540D">
      <w:pPr>
        <w:spacing w:before="240" w:after="72" w:line="360" w:lineRule="auto"/>
        <w:rPr>
          <w:rFonts w:ascii="方正仿宋_GBK" w:eastAsia="方正仿宋_GBK"/>
          <w:b/>
          <w:sz w:val="24"/>
          <w:szCs w:val="24"/>
        </w:rPr>
      </w:pPr>
    </w:p>
    <w:p w:rsidR="004E540D" w:rsidRDefault="00476046">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南银理财有限责任公司</w:t>
      </w:r>
    </w:p>
    <w:p w:rsidR="004E540D" w:rsidRDefault="00476046">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4E540D" w:rsidSect="004E540D">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046" w:rsidRDefault="00476046" w:rsidP="006E1508">
      <w:pPr>
        <w:spacing w:after="72"/>
      </w:pPr>
      <w:r>
        <w:separator/>
      </w:r>
    </w:p>
  </w:endnote>
  <w:endnote w:type="continuationSeparator" w:id="1">
    <w:p w:rsidR="00476046" w:rsidRDefault="00476046" w:rsidP="006E1508">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framePr w:wrap="around" w:vAnchor="text" w:hAnchor="margin" w:xAlign="center" w:y="1"/>
      <w:spacing w:after="72"/>
      <w:rPr>
        <w:rStyle w:val="a7"/>
      </w:rPr>
    </w:pPr>
    <w:r>
      <w:fldChar w:fldCharType="begin"/>
    </w:r>
    <w:r w:rsidR="00476046">
      <w:rPr>
        <w:rStyle w:val="a7"/>
      </w:rPr>
      <w:instrText xml:space="preserve">PAGE  </w:instrText>
    </w:r>
    <w:r>
      <w:fldChar w:fldCharType="end"/>
    </w:r>
  </w:p>
  <w:p w:rsidR="004E540D" w:rsidRDefault="004E540D">
    <w:pPr>
      <w:pStyle w:val="a4"/>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4"/>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046" w:rsidRDefault="00476046" w:rsidP="006E1508">
      <w:pPr>
        <w:spacing w:after="72"/>
      </w:pPr>
      <w:r>
        <w:separator/>
      </w:r>
    </w:p>
  </w:footnote>
  <w:footnote w:type="continuationSeparator" w:id="1">
    <w:p w:rsidR="00476046" w:rsidRDefault="00476046" w:rsidP="006E1508">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40D" w:rsidRDefault="004E540D">
    <w:pPr>
      <w:pStyle w:val="a5"/>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8311F"/>
    <w:rsid w:val="00201F77"/>
    <w:rsid w:val="00232109"/>
    <w:rsid w:val="00232DB0"/>
    <w:rsid w:val="002344B0"/>
    <w:rsid w:val="00244B70"/>
    <w:rsid w:val="002624BA"/>
    <w:rsid w:val="00262B4B"/>
    <w:rsid w:val="00264722"/>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F013A"/>
    <w:rsid w:val="0040415E"/>
    <w:rsid w:val="00414B37"/>
    <w:rsid w:val="00427D95"/>
    <w:rsid w:val="00432880"/>
    <w:rsid w:val="00451C56"/>
    <w:rsid w:val="004601C9"/>
    <w:rsid w:val="004633DF"/>
    <w:rsid w:val="0047014A"/>
    <w:rsid w:val="00476046"/>
    <w:rsid w:val="004822D3"/>
    <w:rsid w:val="00486D6C"/>
    <w:rsid w:val="00494CBA"/>
    <w:rsid w:val="004B750B"/>
    <w:rsid w:val="004D15C6"/>
    <w:rsid w:val="004E5012"/>
    <w:rsid w:val="004E540D"/>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D3524"/>
    <w:rsid w:val="005D66E2"/>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1508"/>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EA9"/>
    <w:rsid w:val="00E76CD6"/>
    <w:rsid w:val="00E80B2A"/>
    <w:rsid w:val="00EA36AD"/>
    <w:rsid w:val="00EB538F"/>
    <w:rsid w:val="00EB5E48"/>
    <w:rsid w:val="00EB6923"/>
    <w:rsid w:val="00EF160C"/>
    <w:rsid w:val="00EF651B"/>
    <w:rsid w:val="00F02F01"/>
    <w:rsid w:val="00F07A35"/>
    <w:rsid w:val="00F11AF8"/>
    <w:rsid w:val="00F12482"/>
    <w:rsid w:val="00F35159"/>
    <w:rsid w:val="00F4518F"/>
    <w:rsid w:val="00F62D3E"/>
    <w:rsid w:val="00F81FB3"/>
    <w:rsid w:val="00F91E69"/>
    <w:rsid w:val="00F95842"/>
    <w:rsid w:val="00FA4B34"/>
    <w:rsid w:val="00FD3F28"/>
    <w:rsid w:val="00FD4626"/>
    <w:rsid w:val="00FE2FF5"/>
    <w:rsid w:val="00FE56AA"/>
    <w:rsid w:val="138B4249"/>
    <w:rsid w:val="1F1A3BC0"/>
    <w:rsid w:val="20362867"/>
    <w:rsid w:val="248F2B43"/>
    <w:rsid w:val="2651710C"/>
    <w:rsid w:val="2A5F3852"/>
    <w:rsid w:val="2C5F4270"/>
    <w:rsid w:val="341F714B"/>
    <w:rsid w:val="3B1F006E"/>
    <w:rsid w:val="4B0132D2"/>
    <w:rsid w:val="57DD4EC8"/>
    <w:rsid w:val="611546EB"/>
    <w:rsid w:val="6C686480"/>
    <w:rsid w:val="6DBF574D"/>
    <w:rsid w:val="73B04A1E"/>
    <w:rsid w:val="7A6723D9"/>
    <w:rsid w:val="7DD408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40D"/>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4E540D"/>
    <w:pPr>
      <w:autoSpaceDE w:val="0"/>
      <w:autoSpaceDN w:val="0"/>
      <w:spacing w:afterLines="0"/>
      <w:jc w:val="left"/>
    </w:pPr>
    <w:rPr>
      <w:rFonts w:ascii="宋体" w:hAnsi="宋体" w:cs="宋体"/>
      <w:kern w:val="0"/>
      <w:szCs w:val="21"/>
      <w:lang w:val="zh-CN" w:bidi="zh-CN"/>
    </w:rPr>
  </w:style>
  <w:style w:type="paragraph" w:styleId="a4">
    <w:name w:val="footer"/>
    <w:basedOn w:val="a"/>
    <w:link w:val="Char"/>
    <w:uiPriority w:val="99"/>
    <w:unhideWhenUsed/>
    <w:qFormat/>
    <w:rsid w:val="004E540D"/>
    <w:pPr>
      <w:tabs>
        <w:tab w:val="center" w:pos="4153"/>
        <w:tab w:val="right" w:pos="8306"/>
      </w:tabs>
      <w:snapToGrid w:val="0"/>
      <w:jc w:val="left"/>
    </w:pPr>
    <w:rPr>
      <w:rFonts w:eastAsiaTheme="minorEastAsia"/>
      <w:sz w:val="18"/>
      <w:szCs w:val="18"/>
    </w:rPr>
  </w:style>
  <w:style w:type="paragraph" w:styleId="a5">
    <w:name w:val="header"/>
    <w:basedOn w:val="a"/>
    <w:link w:val="Char0"/>
    <w:uiPriority w:val="99"/>
    <w:unhideWhenUsed/>
    <w:qFormat/>
    <w:rsid w:val="004E540D"/>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4E540D"/>
    <w:pPr>
      <w:widowControl/>
      <w:spacing w:before="100" w:beforeAutospacing="1" w:after="100" w:afterAutospacing="1"/>
      <w:jc w:val="left"/>
    </w:pPr>
    <w:rPr>
      <w:rFonts w:ascii="宋体" w:hAnsi="宋体"/>
      <w:kern w:val="0"/>
      <w:sz w:val="24"/>
      <w:szCs w:val="24"/>
    </w:rPr>
  </w:style>
  <w:style w:type="character" w:styleId="a7">
    <w:name w:val="page number"/>
    <w:basedOn w:val="a0"/>
    <w:uiPriority w:val="99"/>
    <w:unhideWhenUsed/>
    <w:qFormat/>
    <w:rsid w:val="004E540D"/>
  </w:style>
  <w:style w:type="character" w:customStyle="1" w:styleId="Char">
    <w:name w:val="页脚 Char"/>
    <w:link w:val="a4"/>
    <w:uiPriority w:val="99"/>
    <w:qFormat/>
    <w:locked/>
    <w:rsid w:val="004E540D"/>
    <w:rPr>
      <w:rFonts w:ascii="Times New Roman" w:hAnsi="Times New Roman" w:cs="Times New Roman"/>
      <w:sz w:val="18"/>
      <w:szCs w:val="18"/>
    </w:rPr>
  </w:style>
  <w:style w:type="character" w:customStyle="1" w:styleId="Char1">
    <w:name w:val="页脚 Char1"/>
    <w:basedOn w:val="a0"/>
    <w:uiPriority w:val="99"/>
    <w:semiHidden/>
    <w:qFormat/>
    <w:rsid w:val="004E540D"/>
    <w:rPr>
      <w:rFonts w:ascii="Times New Roman" w:eastAsia="宋体" w:hAnsi="Times New Roman" w:cs="Times New Roman"/>
      <w:sz w:val="18"/>
      <w:szCs w:val="18"/>
    </w:rPr>
  </w:style>
  <w:style w:type="paragraph" w:customStyle="1" w:styleId="biaogeleft">
    <w:name w:val="biaoge_left"/>
    <w:basedOn w:val="a"/>
    <w:qFormat/>
    <w:rsid w:val="004E540D"/>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4E540D"/>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4E540D"/>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4E540D"/>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4E540D"/>
    <w:pPr>
      <w:jc w:val="both"/>
    </w:pPr>
    <w:rPr>
      <w:kern w:val="2"/>
      <w:sz w:val="21"/>
      <w:szCs w:val="21"/>
    </w:rPr>
  </w:style>
  <w:style w:type="paragraph" w:customStyle="1" w:styleId="biaogeright">
    <w:name w:val="biaoge_right"/>
    <w:basedOn w:val="a"/>
    <w:qFormat/>
    <w:rsid w:val="004E540D"/>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4E540D"/>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4E540D"/>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4E540D"/>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5"/>
    <w:uiPriority w:val="99"/>
    <w:qFormat/>
    <w:rsid w:val="004E540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425</Words>
  <Characters>2425</Characters>
  <Application>Microsoft Office Word</Application>
  <DocSecurity>0</DocSecurity>
  <Lines>20</Lines>
  <Paragraphs>5</Paragraphs>
  <ScaleCrop>false</ScaleCrop>
  <Company>cc</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