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61C" w:rsidRDefault="0025361C">
      <w:pPr>
        <w:spacing w:before="240" w:after="72" w:line="360" w:lineRule="auto"/>
        <w:jc w:val="center"/>
        <w:rPr>
          <w:rFonts w:asciiTheme="minorEastAsia" w:eastAsiaTheme="minorEastAsia" w:hAnsiTheme="minorEastAsia"/>
        </w:rPr>
      </w:pPr>
    </w:p>
    <w:p w:rsidR="0025361C" w:rsidRDefault="0025361C">
      <w:pPr>
        <w:spacing w:before="240" w:after="72" w:line="360" w:lineRule="auto"/>
        <w:jc w:val="center"/>
        <w:rPr>
          <w:rFonts w:asciiTheme="minorEastAsia" w:eastAsiaTheme="minorEastAsia" w:hAnsiTheme="minorEastAsia"/>
        </w:rPr>
      </w:pPr>
    </w:p>
    <w:p w:rsidR="0025361C" w:rsidRDefault="0025361C">
      <w:pPr>
        <w:spacing w:before="240" w:after="72" w:line="360" w:lineRule="auto"/>
        <w:jc w:val="center"/>
        <w:rPr>
          <w:rFonts w:asciiTheme="minorEastAsia" w:eastAsiaTheme="minorEastAsia" w:hAnsiTheme="minorEastAsia"/>
        </w:rPr>
      </w:pPr>
    </w:p>
    <w:p w:rsidR="0025361C" w:rsidRDefault="00CD5DF8">
      <w:pPr>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南银理财鼎瑞悦稳（最低持有189天）公募人民币理财产品</w:t>
      </w:r>
    </w:p>
    <w:p w:rsidR="0025361C" w:rsidRDefault="00CD5DF8">
      <w:pPr>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25361C" w:rsidRDefault="0025361C">
      <w:pPr>
        <w:spacing w:before="240" w:after="72" w:line="360" w:lineRule="auto"/>
        <w:jc w:val="center"/>
        <w:rPr>
          <w:rFonts w:ascii="方正黑体简体" w:eastAsia="方正黑体简体"/>
          <w:sz w:val="36"/>
          <w:szCs w:val="36"/>
        </w:rPr>
      </w:pPr>
    </w:p>
    <w:p w:rsidR="0025361C" w:rsidRDefault="0025361C">
      <w:pPr>
        <w:spacing w:before="240" w:after="72" w:line="360" w:lineRule="auto"/>
        <w:jc w:val="center"/>
        <w:rPr>
          <w:rFonts w:ascii="方正黑体简体" w:eastAsia="方正黑体简体"/>
          <w:sz w:val="36"/>
          <w:szCs w:val="36"/>
        </w:rPr>
      </w:pPr>
    </w:p>
    <w:p w:rsidR="0025361C" w:rsidRDefault="0025361C">
      <w:pPr>
        <w:spacing w:before="240" w:after="72" w:line="360" w:lineRule="auto"/>
        <w:jc w:val="center"/>
        <w:rPr>
          <w:rFonts w:ascii="方正黑体简体" w:eastAsia="方正黑体简体"/>
          <w:sz w:val="36"/>
          <w:szCs w:val="36"/>
        </w:rPr>
      </w:pPr>
    </w:p>
    <w:p w:rsidR="0025361C" w:rsidRDefault="0025361C">
      <w:pPr>
        <w:spacing w:before="240" w:after="72" w:line="360" w:lineRule="auto"/>
        <w:jc w:val="center"/>
        <w:rPr>
          <w:rFonts w:ascii="方正黑体简体" w:eastAsia="方正黑体简体"/>
          <w:sz w:val="36"/>
          <w:szCs w:val="36"/>
        </w:rPr>
      </w:pPr>
    </w:p>
    <w:p w:rsidR="0025361C" w:rsidRDefault="00CD5DF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25361C" w:rsidRDefault="00CD5DF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25361C" w:rsidRDefault="0025361C">
      <w:pPr>
        <w:spacing w:before="240" w:after="72" w:line="360" w:lineRule="auto"/>
        <w:jc w:val="center"/>
        <w:rPr>
          <w:rFonts w:ascii="方正黑体简体" w:eastAsia="方正黑体简体"/>
          <w:sz w:val="36"/>
          <w:szCs w:val="36"/>
        </w:rPr>
      </w:pPr>
    </w:p>
    <w:p w:rsidR="0025361C" w:rsidRDefault="00CD5DF8">
      <w:pPr>
        <w:spacing w:before="240" w:after="72" w:line="360" w:lineRule="auto"/>
        <w:jc w:val="center"/>
        <w:rPr>
          <w:rFonts w:ascii="方正黑体简体" w:eastAsia="方正黑体简体"/>
          <w:sz w:val="36"/>
          <w:szCs w:val="36"/>
        </w:rPr>
      </w:pPr>
      <w:r>
        <w:rPr>
          <w:rFonts w:ascii="方正黑体简体" w:eastAsia="方正黑体简体"/>
          <w:sz w:val="36"/>
          <w:szCs w:val="36"/>
        </w:rPr>
        <w:br w:type="page"/>
      </w:r>
    </w:p>
    <w:p w:rsidR="0025361C" w:rsidRDefault="00CD5DF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W w:w="895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894"/>
        <w:gridCol w:w="6065"/>
      </w:tblGrid>
      <w:tr w:rsidR="0025361C">
        <w:trPr>
          <w:trHeight w:val="663"/>
        </w:trPr>
        <w:tc>
          <w:tcPr>
            <w:tcW w:w="2894"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产品全称</w:t>
            </w:r>
          </w:p>
        </w:tc>
        <w:tc>
          <w:tcPr>
            <w:tcW w:w="6065"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南银理财鼎瑞悦稳（最低持有189天）公募人民币理财产品</w:t>
            </w:r>
          </w:p>
        </w:tc>
      </w:tr>
      <w:tr w:rsidR="0025361C">
        <w:trPr>
          <w:trHeight w:val="1207"/>
        </w:trPr>
        <w:tc>
          <w:tcPr>
            <w:tcW w:w="2894"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产品登记编码</w:t>
            </w:r>
          </w:p>
        </w:tc>
        <w:tc>
          <w:tcPr>
            <w:tcW w:w="6065"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Z7003224000160</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25361C">
        <w:trPr>
          <w:trHeight w:val="663"/>
        </w:trPr>
        <w:tc>
          <w:tcPr>
            <w:tcW w:w="2894"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产品运作方式</w:t>
            </w:r>
          </w:p>
        </w:tc>
        <w:tc>
          <w:tcPr>
            <w:tcW w:w="6065"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开放式净值型</w:t>
            </w:r>
          </w:p>
        </w:tc>
      </w:tr>
      <w:tr w:rsidR="0025361C">
        <w:trPr>
          <w:trHeight w:val="663"/>
        </w:trPr>
        <w:tc>
          <w:tcPr>
            <w:tcW w:w="2894"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产品成立日</w:t>
            </w:r>
          </w:p>
        </w:tc>
        <w:tc>
          <w:tcPr>
            <w:tcW w:w="6065"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2024年08月08日</w:t>
            </w:r>
          </w:p>
        </w:tc>
      </w:tr>
      <w:tr w:rsidR="0025361C">
        <w:trPr>
          <w:trHeight w:val="663"/>
        </w:trPr>
        <w:tc>
          <w:tcPr>
            <w:tcW w:w="2894"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报告期末产品份额总额</w:t>
            </w:r>
          </w:p>
        </w:tc>
        <w:tc>
          <w:tcPr>
            <w:tcW w:w="6065"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8,179,986,990.88</w:t>
            </w:r>
            <w:r>
              <w:rPr>
                <w:rFonts w:ascii="方正仿宋简体" w:eastAsia="方正仿宋简体" w:hint="eastAsia"/>
                <w:sz w:val="24"/>
                <w:szCs w:val="24"/>
              </w:rPr>
              <w:t>份</w:t>
            </w:r>
          </w:p>
        </w:tc>
      </w:tr>
      <w:tr w:rsidR="0025361C">
        <w:trPr>
          <w:trHeight w:val="639"/>
        </w:trPr>
        <w:tc>
          <w:tcPr>
            <w:tcW w:w="2894"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合作机构</w:t>
            </w:r>
          </w:p>
        </w:tc>
        <w:tc>
          <w:tcPr>
            <w:tcW w:w="6065"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中粮信托有限责任公司,国投泰康信托有限公司,鑫元基金管理有限公司,陆家嘴国际信托有限公司,江苏省国际信托有限责任公司,长城财富保险资产管理股份有限公司</w:t>
            </w:r>
          </w:p>
        </w:tc>
      </w:tr>
      <w:tr w:rsidR="0025361C">
        <w:trPr>
          <w:trHeight w:val="663"/>
        </w:trPr>
        <w:tc>
          <w:tcPr>
            <w:tcW w:w="2894"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产品管理人</w:t>
            </w:r>
          </w:p>
        </w:tc>
        <w:tc>
          <w:tcPr>
            <w:tcW w:w="6065"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南银理财有限责任公司</w:t>
            </w:r>
          </w:p>
        </w:tc>
      </w:tr>
      <w:tr w:rsidR="0025361C">
        <w:trPr>
          <w:trHeight w:val="663"/>
        </w:trPr>
        <w:tc>
          <w:tcPr>
            <w:tcW w:w="2894"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产品托管人</w:t>
            </w:r>
          </w:p>
        </w:tc>
        <w:tc>
          <w:tcPr>
            <w:tcW w:w="6065"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南京银行股份有限公司</w:t>
            </w:r>
          </w:p>
        </w:tc>
      </w:tr>
    </w:tbl>
    <w:p w:rsidR="0025361C" w:rsidRDefault="0025361C">
      <w:pPr>
        <w:spacing w:before="240" w:after="72" w:line="360" w:lineRule="auto"/>
        <w:rPr>
          <w:rFonts w:ascii="方正仿宋_GBK" w:eastAsia="方正仿宋_GBK" w:hAnsi="宋体" w:cs="宋体"/>
          <w:kern w:val="0"/>
          <w:sz w:val="24"/>
          <w:szCs w:val="24"/>
        </w:rPr>
      </w:pPr>
    </w:p>
    <w:p w:rsidR="0025361C" w:rsidRDefault="00CD5DF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主要财务指标和产品业绩比较基准</w:t>
      </w: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25361C" w:rsidRDefault="00CD5DF8">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296"/>
        <w:gridCol w:w="2705"/>
        <w:gridCol w:w="2030"/>
        <w:gridCol w:w="2036"/>
      </w:tblGrid>
      <w:tr w:rsidR="0025361C">
        <w:trPr>
          <w:trHeight w:val="613"/>
          <w:jc w:val="center"/>
        </w:trPr>
        <w:tc>
          <w:tcPr>
            <w:tcW w:w="2296" w:type="dxa"/>
            <w:vMerge w:val="restart"/>
            <w:vAlign w:val="center"/>
          </w:tcPr>
          <w:p w:rsidR="0025361C" w:rsidRDefault="00CD5DF8" w:rsidP="005E567C">
            <w:pPr>
              <w:spacing w:beforeLines="20" w:afterLines="20" w:line="360" w:lineRule="auto"/>
              <w:jc w:val="center"/>
              <w:rPr>
                <w:rFonts w:ascii="方正仿宋简体" w:eastAsia="方正仿宋简体"/>
                <w:sz w:val="24"/>
                <w:szCs w:val="24"/>
              </w:rPr>
            </w:pPr>
            <w:r>
              <w:rPr>
                <w:rFonts w:ascii="方正仿宋简体" w:eastAsia="方正仿宋简体" w:hint="eastAsia"/>
                <w:sz w:val="24"/>
                <w:szCs w:val="24"/>
              </w:rPr>
              <w:t>内部销售代码</w:t>
            </w:r>
          </w:p>
        </w:tc>
        <w:tc>
          <w:tcPr>
            <w:tcW w:w="6771" w:type="dxa"/>
            <w:gridSpan w:val="3"/>
            <w:vAlign w:val="center"/>
          </w:tcPr>
          <w:p w:rsidR="0025361C" w:rsidRDefault="00CD5DF8" w:rsidP="005E567C">
            <w:pPr>
              <w:snapToGrid/>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25361C">
        <w:trPr>
          <w:trHeight w:val="1664"/>
          <w:jc w:val="center"/>
        </w:trPr>
        <w:tc>
          <w:tcPr>
            <w:tcW w:w="2296" w:type="dxa"/>
            <w:vMerge/>
            <w:vAlign w:val="center"/>
          </w:tcPr>
          <w:p w:rsidR="0025361C" w:rsidRDefault="0025361C" w:rsidP="005E567C">
            <w:pPr>
              <w:spacing w:beforeLines="20" w:afterLines="20" w:line="360" w:lineRule="auto"/>
              <w:jc w:val="center"/>
              <w:rPr>
                <w:rFonts w:ascii="方正仿宋简体" w:eastAsia="方正仿宋简体"/>
                <w:sz w:val="24"/>
                <w:szCs w:val="24"/>
              </w:rPr>
            </w:pPr>
          </w:p>
        </w:tc>
        <w:tc>
          <w:tcPr>
            <w:tcW w:w="2705" w:type="dxa"/>
            <w:vAlign w:val="center"/>
          </w:tcPr>
          <w:p w:rsidR="0025361C" w:rsidRDefault="00CD5DF8" w:rsidP="005E567C">
            <w:pPr>
              <w:snapToGrid/>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030" w:type="dxa"/>
            <w:vAlign w:val="center"/>
          </w:tcPr>
          <w:p w:rsidR="0025361C" w:rsidRDefault="00CD5DF8" w:rsidP="005E567C">
            <w:pPr>
              <w:snapToGrid/>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036" w:type="dxa"/>
            <w:vAlign w:val="center"/>
          </w:tcPr>
          <w:p w:rsidR="0025361C" w:rsidRDefault="00CD5DF8" w:rsidP="005E567C">
            <w:pPr>
              <w:snapToGrid/>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57"/>
          <w:jc w:val="center"/>
        </w:trPr>
        <w:tc>
          <w:tcPr>
            <w:tcW w:w="2296"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A32033</w:t>
            </w:r>
          </w:p>
        </w:tc>
        <w:tc>
          <w:tcPr>
            <w:tcW w:w="2705"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2,814,054,003.86</w:t>
            </w:r>
          </w:p>
        </w:tc>
        <w:tc>
          <w:tcPr>
            <w:tcW w:w="2030"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1.052558</w:t>
            </w:r>
          </w:p>
        </w:tc>
        <w:tc>
          <w:tcPr>
            <w:tcW w:w="2036"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1.052558</w:t>
            </w:r>
          </w:p>
        </w:tc>
      </w:tr>
      <w:tr>
        <w:trPr>
          <w:trHeight w:val="557"/>
          <w:jc w:val="center"/>
        </w:trPr>
        <w:tc>
          <w:tcPr>
            <w:tcW w:w="2296"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A32034</w:t>
            </w:r>
          </w:p>
        </w:tc>
        <w:tc>
          <w:tcPr>
            <w:tcW w:w="2705"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2,821,274,521.35</w:t>
            </w:r>
          </w:p>
        </w:tc>
        <w:tc>
          <w:tcPr>
            <w:tcW w:w="2030"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1.050027</w:t>
            </w:r>
          </w:p>
        </w:tc>
        <w:tc>
          <w:tcPr>
            <w:tcW w:w="2036"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1.050027</w:t>
            </w:r>
          </w:p>
        </w:tc>
      </w:tr>
      <w:tr>
        <w:trPr>
          <w:trHeight w:val="557"/>
          <w:jc w:val="center"/>
        </w:trPr>
        <w:tc>
          <w:tcPr>
            <w:tcW w:w="2296"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A32067</w:t>
            </w:r>
          </w:p>
        </w:tc>
        <w:tc>
          <w:tcPr>
            <w:tcW w:w="2705"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2,961,369,419.48</w:t>
            </w:r>
          </w:p>
        </w:tc>
        <w:tc>
          <w:tcPr>
            <w:tcW w:w="2030"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1.050820</w:t>
            </w:r>
          </w:p>
        </w:tc>
        <w:tc>
          <w:tcPr>
            <w:tcW w:w="2036"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1.050820</w:t>
            </w:r>
          </w:p>
        </w:tc>
      </w:tr>
      <w:tr>
        <w:trPr>
          <w:trHeight w:val="557"/>
          <w:jc w:val="center"/>
        </w:trPr>
        <w:tc>
          <w:tcPr>
            <w:tcW w:w="2296"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A32129</w:t>
            </w:r>
          </w:p>
        </w:tc>
        <w:tc>
          <w:tcPr>
            <w:tcW w:w="2705"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1,516,819.02</w:t>
            </w:r>
          </w:p>
        </w:tc>
        <w:tc>
          <w:tcPr>
            <w:tcW w:w="2030"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1.052165</w:t>
            </w:r>
          </w:p>
        </w:tc>
        <w:tc>
          <w:tcPr>
            <w:tcW w:w="2036"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1.052165</w:t>
            </w:r>
          </w:p>
        </w:tc>
      </w:tr>
    </w:tbl>
    <w:p w:rsidR="0025361C" w:rsidRDefault="00CD5DF8">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25361C" w:rsidRDefault="0025361C">
      <w:pPr>
        <w:spacing w:before="240" w:after="72" w:line="360" w:lineRule="auto"/>
        <w:rPr>
          <w:rFonts w:ascii="方正仿宋_GBK" w:eastAsia="方正仿宋_GBK"/>
          <w:sz w:val="24"/>
          <w:szCs w:val="24"/>
        </w:rPr>
      </w:pP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2.2 </w:t>
      </w:r>
      <w:r>
        <w:rPr>
          <w:rFonts w:ascii="方正仿宋简体" w:eastAsia="方正仿宋简体" w:hint="eastAsia"/>
          <w:b/>
          <w:sz w:val="24"/>
          <w:szCs w:val="24"/>
        </w:rPr>
        <w:t>产品业绩比较基准</w:t>
      </w: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2.2.1</w:t>
      </w:r>
      <w:r>
        <w:rPr>
          <w:rFonts w:ascii="方正仿宋简体" w:eastAsia="方正仿宋简体" w:hint="eastAsia"/>
          <w:b/>
          <w:sz w:val="24"/>
          <w:szCs w:val="24"/>
        </w:rPr>
        <w:t>本报告期产品业绩比较基准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4485"/>
        <w:gridCol w:w="2095"/>
        <w:gridCol w:w="2322"/>
      </w:tblGrid>
      <w:tr w:rsidR="0025361C">
        <w:trPr>
          <w:jc w:val="center"/>
        </w:trPr>
        <w:tc>
          <w:tcPr>
            <w:tcW w:w="4485" w:type="dxa"/>
            <w:vAlign w:val="center"/>
          </w:tcPr>
          <w:p w:rsidR="0025361C" w:rsidRDefault="00CD5DF8" w:rsidP="005E567C">
            <w:pPr>
              <w:snapToGrid/>
              <w:spacing w:beforeLines="20" w:afterLines="20"/>
              <w:jc w:val="center"/>
              <w:rPr>
                <w:rFonts w:ascii="方正仿宋简体" w:eastAsia="方正仿宋简体"/>
                <w:sz w:val="24"/>
                <w:szCs w:val="24"/>
              </w:rPr>
            </w:pPr>
            <w:r>
              <w:rPr>
                <w:rFonts w:ascii="方正仿宋简体" w:eastAsia="方正仿宋简体" w:hint="eastAsia"/>
                <w:sz w:val="24"/>
                <w:szCs w:val="24"/>
              </w:rPr>
              <w:t>阶段</w:t>
            </w:r>
          </w:p>
        </w:tc>
        <w:tc>
          <w:tcPr>
            <w:tcW w:w="2095" w:type="dxa"/>
            <w:vAlign w:val="center"/>
          </w:tcPr>
          <w:p w:rsidR="0025361C" w:rsidRDefault="00CD5DF8" w:rsidP="005E567C">
            <w:pPr>
              <w:snapToGrid/>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2322" w:type="dxa"/>
            <w:vAlign w:val="center"/>
          </w:tcPr>
          <w:p w:rsidR="0025361C" w:rsidRDefault="00CD5DF8" w:rsidP="005E567C">
            <w:pPr>
              <w:snapToGrid/>
              <w:spacing w:beforeLines="20" w:afterLines="20"/>
              <w:jc w:val="center"/>
              <w:rPr>
                <w:rFonts w:ascii="方正仿宋简体" w:eastAsia="方正仿宋简体"/>
                <w:sz w:val="24"/>
                <w:szCs w:val="24"/>
              </w:rPr>
            </w:pPr>
            <w:r>
              <w:rPr>
                <w:rFonts w:ascii="方正仿宋简体" w:eastAsia="方正仿宋简体" w:hint="eastAsia"/>
                <w:sz w:val="24"/>
                <w:szCs w:val="24"/>
              </w:rPr>
              <w:t>业绩比较基准</w:t>
            </w:r>
          </w:p>
        </w:tc>
      </w:tr>
      <w:tr>
        <w:trPr>
          <w:jc w:val="center"/>
        </w:trPr>
        <w:tc>
          <w:tcPr>
            <w:tcW w:w="4485"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2026年04月01日 - 2026年06月30日</w:t>
            </w:r>
          </w:p>
        </w:tc>
        <w:tc>
          <w:tcPr>
            <w:tcW w:w="2095"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A32033</w:t>
            </w:r>
          </w:p>
        </w:tc>
        <w:tc>
          <w:tcPr>
            <w:tcW w:w="2322"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-0.15%</w:t>
            </w:r>
          </w:p>
        </w:tc>
      </w:tr>
      <w:tr>
        <w:trPr>
          <w:jc w:val="center"/>
        </w:trPr>
        <w:tc>
          <w:tcPr>
            <w:tcW w:w="4485"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2026年04月01日 - 2026年06月30日</w:t>
            </w:r>
          </w:p>
        </w:tc>
        <w:tc>
          <w:tcPr>
            <w:tcW w:w="2095"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A32034</w:t>
            </w:r>
          </w:p>
        </w:tc>
        <w:tc>
          <w:tcPr>
            <w:tcW w:w="2322"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-0.15%</w:t>
            </w:r>
          </w:p>
        </w:tc>
      </w:tr>
      <w:tr>
        <w:trPr>
          <w:jc w:val="center"/>
        </w:trPr>
        <w:tc>
          <w:tcPr>
            <w:tcW w:w="4485"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2026年04月01日 - 2026年06月30日</w:t>
            </w:r>
          </w:p>
        </w:tc>
        <w:tc>
          <w:tcPr>
            <w:tcW w:w="2095"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A32067</w:t>
            </w:r>
          </w:p>
        </w:tc>
        <w:tc>
          <w:tcPr>
            <w:tcW w:w="2322"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-0.15%</w:t>
            </w:r>
          </w:p>
        </w:tc>
      </w:tr>
      <w:tr>
        <w:trPr>
          <w:jc w:val="center"/>
        </w:trPr>
        <w:tc>
          <w:tcPr>
            <w:tcW w:w="4485"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2026年04月01日 - 2026年06月30日</w:t>
            </w:r>
          </w:p>
        </w:tc>
        <w:tc>
          <w:tcPr>
            <w:tcW w:w="2095"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A32129</w:t>
            </w:r>
          </w:p>
        </w:tc>
        <w:tc>
          <w:tcPr>
            <w:tcW w:w="2322"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-0.15%</w:t>
            </w:r>
          </w:p>
        </w:tc>
      </w:tr>
    </w:tbl>
    <w:p w:rsidR="0025361C" w:rsidRDefault="0025361C">
      <w:pPr>
        <w:spacing w:before="240" w:after="72" w:line="360" w:lineRule="auto"/>
        <w:rPr>
          <w:rFonts w:ascii="方正仿宋_GBK" w:eastAsia="方正仿宋_GBK"/>
          <w:sz w:val="24"/>
          <w:szCs w:val="24"/>
        </w:rPr>
      </w:pPr>
    </w:p>
    <w:p w:rsidR="0025361C" w:rsidRDefault="00CD5DF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r>
        <w:rPr>
          <w:rFonts w:ascii="方正仿宋简体" w:eastAsia="方正仿宋简体" w:hint="eastAsia"/>
          <w:b/>
          <w:sz w:val="24"/>
          <w:szCs w:val="24"/>
        </w:rPr>
        <w:tab/>
      </w:r>
    </w:p>
    <w:p w:rsidR="0025361C" w:rsidRDefault="00CD5DF8">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国内债券市场大概率延续低位震荡运行格局，收益率难现单边趋势性行情，核心源于多空因素深度交织、基本面与政策面持续博弈，利率上下空间均受到约束。策略上以中性久期策略为核心，将票息收益作为组合收益的主要来源，在震荡调整中把握逢高配置窗口，灵活把握长端利率波段机会。</w:t>
        <w:br w:type="textWrapping" w:clear="all"/>
      </w:r>
      <w:r>
        <w:rPr>
          <w:rFonts w:ascii="方正仿宋简体" w:eastAsia="方正仿宋简体" w:hint="eastAsia"/>
          <w:sz w:val="24"/>
          <w:szCs w:val="24"/>
        </w:rPr>
        <w:t>  产品始终围绕稳健回报的收益目标进行操作，通过持有信用资质较好、绝对收益相对较高的江浙等发达省市信用债作为底仓，获取稳定可靠的票息收益；同时增加同业存单、存款等高流动性资产仓位保证流动性安全。基于对后市的判断，产品将灵活调整杠杆与久期，实现产品净值在合理区间内保持相对稳定；同时加强市场与品种研判，在控制好风险的前提下博取超额收益。</w:t>
      </w:r>
      <w:r>
        <w:rPr>
          <w:rFonts w:ascii="方正仿宋简体" w:eastAsia="方正仿宋简体" w:hint="eastAsia"/>
          <w:sz w:val="24"/>
          <w:szCs w:val="24"/>
        </w:rPr>
        <w:t/>
      </w: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25361C" w:rsidRDefault="00CD5DF8">
      <w:pPr>
        <w:spacing w:before="240" w:after="72" w:line="360" w:lineRule="auto"/>
        <w:rPr>
          <w:rFonts w:ascii="方正仿宋简体" w:eastAsia="方正仿宋简体"/>
          <w:sz w:val="24"/>
          <w:szCs w:val="24"/>
        </w:rPr>
      </w:pPr>
      <w:r>
        <w:rPr>
          <w:rFonts w:ascii="方正仿宋简体" w:eastAsia="方正仿宋简体"/>
          <w:sz w:val="24"/>
          <w:szCs w:val="24"/>
        </w:rPr>
        <w:t>  产品投资运作稳健，资产结构保持较高的流动性水平，平稳度过市场各关键时点。下阶段，产品将继续维持合理的流动性资产比例，做好负债端现金流的跟踪与研判，适度拉长杠杆融资期限，控制产品流动性风险。</w:t>
      </w: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25361C" w:rsidRDefault="00CD5DF8">
      <w:pPr>
        <w:snapToGrid/>
        <w:spacing w:before="240" w:after="72" w:line="360" w:lineRule="auto"/>
        <w:ind w:firstLineChars="200" w:firstLine="480"/>
        <w:jc w:val="both"/>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A32033份额净值为1.052558元，A32034份额净值为1.050027元，A32067份额净值为1.050820元，A32129份额净值为1.052165</w:t>
      </w:r>
      <w:r>
        <w:rPr>
          <w:rFonts w:ascii="方正仿宋简体" w:eastAsia="方正仿宋简体" w:hint="eastAsia"/>
          <w:sz w:val="24"/>
          <w:szCs w:val="24"/>
        </w:rPr>
        <w:t>元。</w:t>
      </w:r>
    </w:p>
    <w:p w:rsidR="0025361C" w:rsidRDefault="0025361C">
      <w:pPr>
        <w:spacing w:before="240" w:after="72" w:line="360" w:lineRule="auto"/>
        <w:rPr>
          <w:rFonts w:ascii="方正仿宋_GBK" w:eastAsia="方正仿宋_GBK" w:hAnsi="宋体"/>
          <w:sz w:val="24"/>
          <w:szCs w:val="24"/>
        </w:rPr>
      </w:pPr>
    </w:p>
    <w:p w:rsidR="0025361C" w:rsidRDefault="00CD5DF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25361C">
        <w:tc>
          <w:tcPr>
            <w:tcW w:w="745"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25361C">
        <w:tc>
          <w:tcPr>
            <w:tcW w:w="745"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p>
        </w:tc>
        <w:tc>
          <w:tcPr>
            <w:tcW w:w="185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99.65%</w:t>
            </w:r>
          </w:p>
        </w:tc>
        <w:tc>
          <w:tcPr>
            <w:tcW w:w="328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91.82%</w:t>
            </w:r>
          </w:p>
        </w:tc>
      </w:tr>
      <w:tr w:rsidR="0025361C">
        <w:tc>
          <w:tcPr>
            <w:tcW w:w="745"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0.35%</w:t>
            </w:r>
          </w:p>
        </w:tc>
        <w:tc>
          <w:tcPr>
            <w:tcW w:w="328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8.18%</w:t>
            </w:r>
          </w:p>
        </w:tc>
      </w:tr>
      <w:tr w:rsidR="0025361C">
        <w:tc>
          <w:tcPr>
            <w:tcW w:w="745"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25361C">
        <w:tc>
          <w:tcPr>
            <w:tcW w:w="745"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25361C">
        <w:tc>
          <w:tcPr>
            <w:tcW w:w="745"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25361C" w:rsidRDefault="0025361C">
      <w:pPr>
        <w:spacing w:before="240" w:after="72" w:line="360" w:lineRule="auto"/>
        <w:rPr>
          <w:rFonts w:ascii="方正仿宋_GBK" w:eastAsia="方正仿宋_GBK"/>
          <w:sz w:val="24"/>
          <w:szCs w:val="24"/>
        </w:rPr>
      </w:pP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25361C">
        <w:trPr>
          <w:trHeight w:val="1233"/>
          <w:jc w:val="center"/>
        </w:trPr>
        <w:tc>
          <w:tcPr>
            <w:tcW w:w="750"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ZJQTT202410090002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陆家嘴信托-陆享19号集合资金信托计划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1,469,182,370.91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17.09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ZJQTT202509250001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陆家嘴信托-陆享21号集合资金信托计划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1,394,394,327.78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16.22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ZJQTT202311080001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1,095,587,297.12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12.74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ZJQTT202405170001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陆家嘴信托-陆享15号集合资金信托计划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657,805,932.12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7.65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XJCKX202404150001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农业银行深圳分行活期存款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593,710,729.16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6.91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ZJQTT202202160001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鑫元基金-鑫安利得57号集合资产管理计划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558,900,048.71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6.50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ZJQTT202209050001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434,839,389.16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ZJQTT202306010001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425,388,575.49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09240202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24国开清发02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402,123,200.00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112605026</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26建设银行CD026</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395,526,800.00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4.60</w:t>
            </w:r>
          </w:p>
        </w:tc>
      </w:tr>
    </w:tbl>
    <w:p w:rsidR="0025361C" w:rsidRDefault="0025361C">
      <w:pPr>
        <w:spacing w:before="240" w:after="72" w:line="360" w:lineRule="auto"/>
        <w:rPr>
          <w:rFonts w:ascii="方正仿宋_GBK" w:eastAsia="方正仿宋_GBK" w:hAnsi="宋体" w:cs="宋体"/>
          <w:sz w:val="24"/>
          <w:szCs w:val="24"/>
          <w:shd w:val="clear" w:color="auto" w:fill="FFFFFF"/>
        </w:rPr>
      </w:pP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63"/>
        <w:gridCol w:w="1671"/>
        <w:gridCol w:w="1252"/>
        <w:gridCol w:w="1511"/>
        <w:gridCol w:w="1357"/>
        <w:gridCol w:w="1248"/>
        <w:gridCol w:w="1000"/>
      </w:tblGrid>
      <w:tr w:rsidR="0025361C">
        <w:trPr>
          <w:trHeight w:val="1078"/>
          <w:jc w:val="center"/>
        </w:trPr>
        <w:tc>
          <w:tcPr>
            <w:tcW w:w="863"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671"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52"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11"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57"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48"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1000"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6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6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5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1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5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4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00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25361C" w:rsidRDefault="0025361C">
      <w:pPr>
        <w:spacing w:before="240" w:after="72" w:line="360" w:lineRule="auto"/>
        <w:rPr>
          <w:rFonts w:ascii="方正仿宋_GBK" w:eastAsia="方正仿宋_GBK" w:hAnsi="宋体" w:cs="宋体"/>
          <w:sz w:val="24"/>
          <w:szCs w:val="24"/>
          <w:shd w:val="clear" w:color="auto" w:fill="FFFFFF"/>
        </w:rPr>
      </w:pPr>
    </w:p>
    <w:p w:rsidR="0025361C" w:rsidRDefault="00CD5DF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696"/>
        <w:gridCol w:w="1567"/>
        <w:gridCol w:w="2668"/>
        <w:gridCol w:w="1983"/>
        <w:gridCol w:w="1988"/>
      </w:tblGrid>
      <w:tr w:rsidR="0025361C">
        <w:trPr>
          <w:trHeight w:val="584"/>
          <w:jc w:val="center"/>
        </w:trPr>
        <w:tc>
          <w:tcPr>
            <w:tcW w:w="696"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67"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69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6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0101080000001132</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南京银行南京分行南银理财鼎瑞悦稳最低持有189天</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25361C" w:rsidRDefault="0025361C">
      <w:pPr>
        <w:spacing w:before="240" w:after="72" w:line="360" w:lineRule="auto"/>
        <w:rPr>
          <w:rFonts w:ascii="方正仿宋_GBK" w:eastAsia="方正仿宋_GBK"/>
          <w:sz w:val="24"/>
          <w:szCs w:val="24"/>
        </w:rPr>
      </w:pPr>
    </w:p>
    <w:p w:rsidR="0025361C" w:rsidRDefault="00CD5DF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25361C" w:rsidRDefault="005E567C">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CD5DF8">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25361C">
        <w:trPr>
          <w:trHeight w:val="534"/>
          <w:jc w:val="center"/>
        </w:trPr>
        <w:tc>
          <w:tcPr>
            <w:tcW w:w="877"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25361C">
        <w:trPr>
          <w:trHeight w:val="534"/>
          <w:jc w:val="center"/>
        </w:trPr>
        <w:tc>
          <w:tcPr>
            <w:tcW w:w="877" w:type="dxa"/>
            <w:vMerge/>
            <w:vAlign w:val="center"/>
          </w:tcPr>
          <w:p w:rsidR="0025361C" w:rsidRDefault="0025361C" w:rsidP="005E567C">
            <w:pPr>
              <w:spacing w:beforeLines="20" w:afterLines="20"/>
              <w:jc w:val="center"/>
            </w:pPr>
          </w:p>
        </w:tc>
        <w:tc>
          <w:tcPr>
            <w:tcW w:w="1704" w:type="dxa"/>
            <w:vMerge/>
            <w:vAlign w:val="center"/>
          </w:tcPr>
          <w:p w:rsidR="0025361C" w:rsidRDefault="0025361C" w:rsidP="005E567C">
            <w:pPr>
              <w:spacing w:beforeLines="20" w:afterLines="20"/>
              <w:jc w:val="center"/>
            </w:pPr>
          </w:p>
        </w:tc>
        <w:tc>
          <w:tcPr>
            <w:tcW w:w="1275" w:type="dxa"/>
            <w:vMerge/>
            <w:vAlign w:val="center"/>
          </w:tcPr>
          <w:p w:rsidR="0025361C" w:rsidRDefault="0025361C" w:rsidP="005E567C">
            <w:pPr>
              <w:spacing w:beforeLines="20" w:afterLines="20"/>
              <w:jc w:val="center"/>
            </w:pPr>
          </w:p>
        </w:tc>
        <w:tc>
          <w:tcPr>
            <w:tcW w:w="1540" w:type="dxa"/>
            <w:vMerge/>
            <w:vAlign w:val="center"/>
          </w:tcPr>
          <w:p w:rsidR="0025361C" w:rsidRDefault="0025361C" w:rsidP="005E567C">
            <w:pPr>
              <w:spacing w:beforeLines="20" w:afterLines="20"/>
              <w:jc w:val="center"/>
            </w:pPr>
          </w:p>
        </w:tc>
        <w:tc>
          <w:tcPr>
            <w:tcW w:w="1765"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25361C" w:rsidRDefault="008C4C5A">
      <w:pPr>
        <w:spacing w:before="240" w:after="72" w:line="360" w:lineRule="auto"/>
        <w:rPr>
          <w:rFonts w:ascii="方正仿宋简体" w:eastAsia="方正仿宋简体"/>
          <w:b/>
          <w:sz w:val="24"/>
          <w:szCs w:val="24"/>
        </w:rPr>
      </w:pPr>
      <w:r>
        <w:rPr>
          <w:rFonts w:ascii="方正仿宋简体" w:eastAsia="方正仿宋简体" w:hint="eastAsia"/>
          <w:b/>
          <w:sz w:val="24"/>
          <w:szCs w:val="24"/>
        </w:rPr>
        <w:lastRenderedPageBreak/>
        <w:t>6.</w:t>
      </w:r>
      <w:r w:rsidR="00CD5DF8">
        <w:rPr>
          <w:rFonts w:ascii="方正仿宋简体" w:eastAsia="方正仿宋简体" w:hint="eastAsia"/>
          <w:b/>
          <w:sz w:val="24"/>
          <w:szCs w:val="24"/>
        </w:rPr>
        <w:t>2</w:t>
      </w:r>
      <w:r w:rsidR="00CD5DF8">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25361C">
        <w:trPr>
          <w:trHeight w:val="534"/>
          <w:jc w:val="center"/>
        </w:trPr>
        <w:tc>
          <w:tcPr>
            <w:tcW w:w="877"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25361C">
        <w:trPr>
          <w:trHeight w:val="534"/>
          <w:jc w:val="center"/>
        </w:trPr>
        <w:tc>
          <w:tcPr>
            <w:tcW w:w="877" w:type="dxa"/>
            <w:vMerge/>
            <w:vAlign w:val="center"/>
          </w:tcPr>
          <w:p w:rsidR="0025361C" w:rsidRDefault="0025361C" w:rsidP="005E567C">
            <w:pPr>
              <w:spacing w:beforeLines="20" w:afterLines="20"/>
              <w:jc w:val="center"/>
            </w:pPr>
          </w:p>
        </w:tc>
        <w:tc>
          <w:tcPr>
            <w:tcW w:w="1704" w:type="dxa"/>
            <w:vMerge/>
            <w:vAlign w:val="center"/>
          </w:tcPr>
          <w:p w:rsidR="0025361C" w:rsidRDefault="0025361C" w:rsidP="005E567C">
            <w:pPr>
              <w:spacing w:beforeLines="20" w:afterLines="20"/>
              <w:jc w:val="center"/>
            </w:pPr>
          </w:p>
        </w:tc>
        <w:tc>
          <w:tcPr>
            <w:tcW w:w="1275" w:type="dxa"/>
            <w:vMerge/>
            <w:vAlign w:val="center"/>
          </w:tcPr>
          <w:p w:rsidR="0025361C" w:rsidRDefault="0025361C" w:rsidP="005E567C">
            <w:pPr>
              <w:spacing w:beforeLines="20" w:afterLines="20"/>
              <w:jc w:val="center"/>
            </w:pPr>
          </w:p>
        </w:tc>
        <w:tc>
          <w:tcPr>
            <w:tcW w:w="1540" w:type="dxa"/>
            <w:vMerge/>
            <w:vAlign w:val="center"/>
          </w:tcPr>
          <w:p w:rsidR="0025361C" w:rsidRDefault="0025361C" w:rsidP="005E567C">
            <w:pPr>
              <w:spacing w:beforeLines="20" w:afterLines="20"/>
              <w:jc w:val="center"/>
            </w:pPr>
          </w:p>
        </w:tc>
        <w:tc>
          <w:tcPr>
            <w:tcW w:w="1765"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25361C" w:rsidRDefault="0088219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CD5DF8">
        <w:rPr>
          <w:rFonts w:ascii="方正仿宋简体" w:eastAsia="方正仿宋简体" w:hint="eastAsia"/>
          <w:b/>
          <w:sz w:val="24"/>
          <w:szCs w:val="24"/>
        </w:rPr>
        <w:t>3</w:t>
      </w:r>
      <w:r w:rsidR="00CD5DF8">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25361C">
        <w:trPr>
          <w:trHeight w:val="534"/>
          <w:jc w:val="center"/>
        </w:trPr>
        <w:tc>
          <w:tcPr>
            <w:tcW w:w="877"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25361C">
        <w:trPr>
          <w:trHeight w:val="534"/>
          <w:jc w:val="center"/>
        </w:trPr>
        <w:tc>
          <w:tcPr>
            <w:tcW w:w="877" w:type="dxa"/>
            <w:vMerge/>
            <w:vAlign w:val="center"/>
          </w:tcPr>
          <w:p w:rsidR="0025361C" w:rsidRDefault="0025361C" w:rsidP="005E567C">
            <w:pPr>
              <w:spacing w:beforeLines="20" w:afterLines="20"/>
              <w:jc w:val="center"/>
            </w:pPr>
          </w:p>
        </w:tc>
        <w:tc>
          <w:tcPr>
            <w:tcW w:w="1704" w:type="dxa"/>
            <w:vMerge/>
            <w:vAlign w:val="center"/>
          </w:tcPr>
          <w:p w:rsidR="0025361C" w:rsidRDefault="0025361C" w:rsidP="005E567C">
            <w:pPr>
              <w:spacing w:beforeLines="20" w:afterLines="20"/>
              <w:jc w:val="center"/>
            </w:pPr>
          </w:p>
        </w:tc>
        <w:tc>
          <w:tcPr>
            <w:tcW w:w="1275" w:type="dxa"/>
            <w:vMerge/>
            <w:vAlign w:val="center"/>
          </w:tcPr>
          <w:p w:rsidR="0025361C" w:rsidRDefault="0025361C" w:rsidP="005E567C">
            <w:pPr>
              <w:spacing w:beforeLines="20" w:afterLines="20"/>
              <w:jc w:val="center"/>
            </w:pPr>
          </w:p>
        </w:tc>
        <w:tc>
          <w:tcPr>
            <w:tcW w:w="1540" w:type="dxa"/>
            <w:vMerge/>
            <w:vAlign w:val="center"/>
          </w:tcPr>
          <w:p w:rsidR="0025361C" w:rsidRDefault="0025361C" w:rsidP="005E567C">
            <w:pPr>
              <w:spacing w:beforeLines="20" w:afterLines="20"/>
              <w:jc w:val="center"/>
            </w:pPr>
          </w:p>
        </w:tc>
        <w:tc>
          <w:tcPr>
            <w:tcW w:w="1765"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25361C" w:rsidRDefault="0088219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CD5DF8">
        <w:rPr>
          <w:rFonts w:ascii="方正仿宋简体" w:eastAsia="方正仿宋简体" w:hint="eastAsia"/>
          <w:b/>
          <w:sz w:val="24"/>
          <w:szCs w:val="24"/>
        </w:rPr>
        <w:t>4</w:t>
      </w:r>
      <w:r w:rsidR="00CD5DF8">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25361C">
        <w:trPr>
          <w:trHeight w:val="1048"/>
          <w:jc w:val="center"/>
        </w:trPr>
        <w:tc>
          <w:tcPr>
            <w:tcW w:w="877"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昆山鹿城村镇银行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1402.70</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1561697.03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27052.19</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11688.28</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469338.01</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其他服务费用</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3000.00</w:t>
            </w:r>
          </w:p>
        </w:tc>
      </w:tr>
    </w:tbl>
    <w:p w:rsidR="0025361C" w:rsidRDefault="0025361C">
      <w:pPr>
        <w:spacing w:before="240" w:after="72" w:line="360" w:lineRule="auto"/>
        <w:rPr>
          <w:rFonts w:ascii="方正仿宋_GBK" w:eastAsia="方正仿宋_GBK" w:hAnsi="宋体" w:cs="宋体"/>
          <w:kern w:val="0"/>
          <w:sz w:val="24"/>
          <w:szCs w:val="24"/>
        </w:rPr>
      </w:pPr>
    </w:p>
    <w:p w:rsidR="0025361C" w:rsidRDefault="0025361C">
      <w:pPr>
        <w:spacing w:before="240" w:after="72" w:line="360" w:lineRule="auto"/>
        <w:jc w:val="right"/>
        <w:rPr>
          <w:rFonts w:ascii="方正仿宋_GBK" w:eastAsia="方正仿宋_GBK"/>
          <w:b/>
          <w:sz w:val="24"/>
          <w:szCs w:val="24"/>
        </w:rPr>
      </w:pPr>
    </w:p>
    <w:p w:rsidR="0025361C" w:rsidRDefault="00CD5DF8">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t>南银理财有限责任公司</w:t>
      </w:r>
    </w:p>
    <w:p w:rsidR="0025361C" w:rsidRDefault="00CD5DF8">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t>2026年06月30日</w:t>
      </w:r>
    </w:p>
    <w:sectPr w:rsidR="0025361C" w:rsidSect="0025361C">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5DF8" w:rsidRDefault="00CD5DF8" w:rsidP="005E567C">
      <w:pPr>
        <w:spacing w:after="72"/>
      </w:pPr>
      <w:r>
        <w:separator/>
      </w:r>
    </w:p>
  </w:endnote>
  <w:endnote w:type="continuationSeparator" w:id="1">
    <w:p w:rsidR="00CD5DF8" w:rsidRDefault="00CD5DF8" w:rsidP="005E567C">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61C" w:rsidRDefault="0025361C">
    <w:pPr>
      <w:pStyle w:val="a3"/>
      <w:framePr w:wrap="around" w:vAnchor="text" w:hAnchor="margin" w:xAlign="center" w:y="1"/>
      <w:spacing w:after="72"/>
      <w:rPr>
        <w:rStyle w:val="a6"/>
      </w:rPr>
    </w:pPr>
    <w:r>
      <w:fldChar w:fldCharType="begin"/>
    </w:r>
    <w:r w:rsidR="00CD5DF8">
      <w:rPr>
        <w:rStyle w:val="a6"/>
      </w:rPr>
      <w:instrText xml:space="preserve">PAGE  </w:instrText>
    </w:r>
    <w:r>
      <w:fldChar w:fldCharType="end"/>
    </w:r>
  </w:p>
  <w:p w:rsidR="0025361C" w:rsidRDefault="0025361C">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61C" w:rsidRDefault="0025361C">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61C" w:rsidRDefault="0025361C">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5DF8" w:rsidRDefault="00CD5DF8" w:rsidP="005E567C">
      <w:pPr>
        <w:spacing w:after="72"/>
      </w:pPr>
      <w:r>
        <w:separator/>
      </w:r>
    </w:p>
  </w:footnote>
  <w:footnote w:type="continuationSeparator" w:id="1">
    <w:p w:rsidR="00CD5DF8" w:rsidRDefault="00CD5DF8" w:rsidP="005E567C">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61C" w:rsidRDefault="0025361C">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61C" w:rsidRDefault="0025361C">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61C" w:rsidRDefault="0025361C">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044BE"/>
    <w:rsid w:val="000121D1"/>
    <w:rsid w:val="00012B94"/>
    <w:rsid w:val="00012CAC"/>
    <w:rsid w:val="000203D8"/>
    <w:rsid w:val="000215AD"/>
    <w:rsid w:val="00063EA9"/>
    <w:rsid w:val="00072345"/>
    <w:rsid w:val="00097C35"/>
    <w:rsid w:val="000B288D"/>
    <w:rsid w:val="000B2B7B"/>
    <w:rsid w:val="000B4524"/>
    <w:rsid w:val="000C61EE"/>
    <w:rsid w:val="00106906"/>
    <w:rsid w:val="0012494A"/>
    <w:rsid w:val="0013793E"/>
    <w:rsid w:val="00137D06"/>
    <w:rsid w:val="001421A0"/>
    <w:rsid w:val="0015692D"/>
    <w:rsid w:val="001765C7"/>
    <w:rsid w:val="0018311F"/>
    <w:rsid w:val="00210CF6"/>
    <w:rsid w:val="0021176D"/>
    <w:rsid w:val="00245BA0"/>
    <w:rsid w:val="00247E87"/>
    <w:rsid w:val="0025361C"/>
    <w:rsid w:val="00262B4B"/>
    <w:rsid w:val="002C44B3"/>
    <w:rsid w:val="002E0397"/>
    <w:rsid w:val="00303D68"/>
    <w:rsid w:val="0030434F"/>
    <w:rsid w:val="00320EE0"/>
    <w:rsid w:val="0032401B"/>
    <w:rsid w:val="0034796F"/>
    <w:rsid w:val="00352282"/>
    <w:rsid w:val="00355FD9"/>
    <w:rsid w:val="00375A11"/>
    <w:rsid w:val="0039556B"/>
    <w:rsid w:val="00395C1C"/>
    <w:rsid w:val="003C00A0"/>
    <w:rsid w:val="003D3C54"/>
    <w:rsid w:val="0040415E"/>
    <w:rsid w:val="00414B37"/>
    <w:rsid w:val="0041563E"/>
    <w:rsid w:val="00463146"/>
    <w:rsid w:val="004822D3"/>
    <w:rsid w:val="00486D6C"/>
    <w:rsid w:val="0049452A"/>
    <w:rsid w:val="004A024D"/>
    <w:rsid w:val="004C1007"/>
    <w:rsid w:val="004D7F94"/>
    <w:rsid w:val="004E5012"/>
    <w:rsid w:val="004F1BE6"/>
    <w:rsid w:val="004F595C"/>
    <w:rsid w:val="00505062"/>
    <w:rsid w:val="0055573F"/>
    <w:rsid w:val="00573EE2"/>
    <w:rsid w:val="005A7904"/>
    <w:rsid w:val="005B2789"/>
    <w:rsid w:val="005B5E17"/>
    <w:rsid w:val="005D04CF"/>
    <w:rsid w:val="005E567C"/>
    <w:rsid w:val="005F031B"/>
    <w:rsid w:val="005F7956"/>
    <w:rsid w:val="006053C4"/>
    <w:rsid w:val="00631F68"/>
    <w:rsid w:val="0063323A"/>
    <w:rsid w:val="00650C13"/>
    <w:rsid w:val="006754C1"/>
    <w:rsid w:val="0067684D"/>
    <w:rsid w:val="00676A68"/>
    <w:rsid w:val="0068398A"/>
    <w:rsid w:val="00693399"/>
    <w:rsid w:val="00695491"/>
    <w:rsid w:val="006C7930"/>
    <w:rsid w:val="007120E8"/>
    <w:rsid w:val="00714095"/>
    <w:rsid w:val="00717310"/>
    <w:rsid w:val="007347EF"/>
    <w:rsid w:val="007363F8"/>
    <w:rsid w:val="00751294"/>
    <w:rsid w:val="007620E9"/>
    <w:rsid w:val="00766941"/>
    <w:rsid w:val="007672C3"/>
    <w:rsid w:val="00794F8E"/>
    <w:rsid w:val="007C0575"/>
    <w:rsid w:val="007C36B2"/>
    <w:rsid w:val="007C3F1F"/>
    <w:rsid w:val="007C7DC4"/>
    <w:rsid w:val="007D7CB7"/>
    <w:rsid w:val="007E0C90"/>
    <w:rsid w:val="007E34F4"/>
    <w:rsid w:val="007F2C0A"/>
    <w:rsid w:val="007F53C8"/>
    <w:rsid w:val="008030B3"/>
    <w:rsid w:val="00810A55"/>
    <w:rsid w:val="00820973"/>
    <w:rsid w:val="0084718A"/>
    <w:rsid w:val="00850FCA"/>
    <w:rsid w:val="00870344"/>
    <w:rsid w:val="00882199"/>
    <w:rsid w:val="008833A7"/>
    <w:rsid w:val="00894D12"/>
    <w:rsid w:val="008C4C5A"/>
    <w:rsid w:val="008C7314"/>
    <w:rsid w:val="008F5BE6"/>
    <w:rsid w:val="009150F2"/>
    <w:rsid w:val="0093559E"/>
    <w:rsid w:val="00944F3B"/>
    <w:rsid w:val="009515A9"/>
    <w:rsid w:val="009663C6"/>
    <w:rsid w:val="009800BA"/>
    <w:rsid w:val="009904D8"/>
    <w:rsid w:val="009D0C1A"/>
    <w:rsid w:val="009D656A"/>
    <w:rsid w:val="009D6737"/>
    <w:rsid w:val="009D6D5E"/>
    <w:rsid w:val="009E2AE4"/>
    <w:rsid w:val="009E6E45"/>
    <w:rsid w:val="009F0D8D"/>
    <w:rsid w:val="009F7125"/>
    <w:rsid w:val="00A112F8"/>
    <w:rsid w:val="00A12D79"/>
    <w:rsid w:val="00A274D5"/>
    <w:rsid w:val="00A55DE1"/>
    <w:rsid w:val="00A60FAC"/>
    <w:rsid w:val="00A61A2A"/>
    <w:rsid w:val="00A72E96"/>
    <w:rsid w:val="00A81610"/>
    <w:rsid w:val="00AB2343"/>
    <w:rsid w:val="00AB6CFB"/>
    <w:rsid w:val="00AE2FD4"/>
    <w:rsid w:val="00B1693A"/>
    <w:rsid w:val="00B30356"/>
    <w:rsid w:val="00B31E80"/>
    <w:rsid w:val="00B54020"/>
    <w:rsid w:val="00B6100D"/>
    <w:rsid w:val="00B612B8"/>
    <w:rsid w:val="00B751B8"/>
    <w:rsid w:val="00B86655"/>
    <w:rsid w:val="00B91322"/>
    <w:rsid w:val="00B92DFA"/>
    <w:rsid w:val="00BA2C30"/>
    <w:rsid w:val="00BD00A8"/>
    <w:rsid w:val="00C17A02"/>
    <w:rsid w:val="00C62A28"/>
    <w:rsid w:val="00C872EF"/>
    <w:rsid w:val="00C945B6"/>
    <w:rsid w:val="00CA4B23"/>
    <w:rsid w:val="00CA4CDA"/>
    <w:rsid w:val="00CD5DF8"/>
    <w:rsid w:val="00D038A1"/>
    <w:rsid w:val="00D21AF8"/>
    <w:rsid w:val="00D35825"/>
    <w:rsid w:val="00D36374"/>
    <w:rsid w:val="00D45351"/>
    <w:rsid w:val="00D83890"/>
    <w:rsid w:val="00D95925"/>
    <w:rsid w:val="00DB25C1"/>
    <w:rsid w:val="00DB5077"/>
    <w:rsid w:val="00DD60D3"/>
    <w:rsid w:val="00DE5E66"/>
    <w:rsid w:val="00DE6F49"/>
    <w:rsid w:val="00E022D1"/>
    <w:rsid w:val="00E06F91"/>
    <w:rsid w:val="00E13E4F"/>
    <w:rsid w:val="00E22F50"/>
    <w:rsid w:val="00E355D3"/>
    <w:rsid w:val="00E467AB"/>
    <w:rsid w:val="00E5116E"/>
    <w:rsid w:val="00E728E0"/>
    <w:rsid w:val="00EB38B7"/>
    <w:rsid w:val="00EB5E48"/>
    <w:rsid w:val="00EB6923"/>
    <w:rsid w:val="00EC5DC8"/>
    <w:rsid w:val="00EF1F1C"/>
    <w:rsid w:val="00F01D00"/>
    <w:rsid w:val="00F02F01"/>
    <w:rsid w:val="00F035EE"/>
    <w:rsid w:val="00F167FC"/>
    <w:rsid w:val="00F2084D"/>
    <w:rsid w:val="00F359BD"/>
    <w:rsid w:val="00F4518F"/>
    <w:rsid w:val="00F50865"/>
    <w:rsid w:val="00F62D3E"/>
    <w:rsid w:val="00F65097"/>
    <w:rsid w:val="00F81499"/>
    <w:rsid w:val="00F81FB3"/>
    <w:rsid w:val="00F90D3B"/>
    <w:rsid w:val="00F91E69"/>
    <w:rsid w:val="00F95842"/>
    <w:rsid w:val="00FB320C"/>
    <w:rsid w:val="00FB40D3"/>
    <w:rsid w:val="00FB54AE"/>
    <w:rsid w:val="00FE41E6"/>
    <w:rsid w:val="0A32571F"/>
    <w:rsid w:val="0CC420DD"/>
    <w:rsid w:val="1FC4188E"/>
    <w:rsid w:val="35136ADD"/>
    <w:rsid w:val="3B967EA1"/>
    <w:rsid w:val="4D550AEB"/>
    <w:rsid w:val="509470EC"/>
    <w:rsid w:val="59E74023"/>
    <w:rsid w:val="5A73269D"/>
    <w:rsid w:val="5BFB5547"/>
    <w:rsid w:val="5EBA334B"/>
    <w:rsid w:val="654F116F"/>
    <w:rsid w:val="67344534"/>
    <w:rsid w:val="6B00012E"/>
    <w:rsid w:val="702871A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61C"/>
    <w:pPr>
      <w:widowControl w:val="0"/>
      <w:snapToGrid w:val="0"/>
      <w:spacing w:afterLines="30"/>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25361C"/>
    <w:pPr>
      <w:tabs>
        <w:tab w:val="center" w:pos="4153"/>
        <w:tab w:val="right" w:pos="8306"/>
      </w:tabs>
    </w:pPr>
    <w:rPr>
      <w:rFonts w:eastAsiaTheme="minorEastAsia"/>
      <w:sz w:val="18"/>
      <w:szCs w:val="18"/>
    </w:rPr>
  </w:style>
  <w:style w:type="paragraph" w:styleId="a4">
    <w:name w:val="header"/>
    <w:basedOn w:val="a"/>
    <w:link w:val="Char0"/>
    <w:uiPriority w:val="99"/>
    <w:unhideWhenUsed/>
    <w:qFormat/>
    <w:rsid w:val="0025361C"/>
    <w:pPr>
      <w:pBdr>
        <w:bottom w:val="single" w:sz="6" w:space="1" w:color="auto"/>
      </w:pBdr>
      <w:tabs>
        <w:tab w:val="center" w:pos="4153"/>
        <w:tab w:val="right" w:pos="8306"/>
      </w:tabs>
      <w:jc w:val="center"/>
    </w:pPr>
    <w:rPr>
      <w:sz w:val="18"/>
      <w:szCs w:val="18"/>
    </w:rPr>
  </w:style>
  <w:style w:type="paragraph" w:styleId="a5">
    <w:name w:val="Normal (Web)"/>
    <w:basedOn w:val="a"/>
    <w:qFormat/>
    <w:rsid w:val="0025361C"/>
    <w:pPr>
      <w:spacing w:before="100" w:beforeAutospacing="1" w:after="100" w:afterAutospacing="1"/>
    </w:pPr>
    <w:rPr>
      <w:rFonts w:ascii="宋体" w:hAnsi="宋体"/>
      <w:kern w:val="0"/>
      <w:sz w:val="24"/>
      <w:szCs w:val="24"/>
    </w:rPr>
  </w:style>
  <w:style w:type="character" w:styleId="a6">
    <w:name w:val="page number"/>
    <w:basedOn w:val="a0"/>
    <w:uiPriority w:val="99"/>
    <w:unhideWhenUsed/>
    <w:qFormat/>
    <w:rsid w:val="0025361C"/>
  </w:style>
  <w:style w:type="character" w:customStyle="1" w:styleId="Char">
    <w:name w:val="页脚 Char"/>
    <w:link w:val="a3"/>
    <w:uiPriority w:val="99"/>
    <w:qFormat/>
    <w:locked/>
    <w:rsid w:val="0025361C"/>
    <w:rPr>
      <w:rFonts w:ascii="Times New Roman" w:hAnsi="Times New Roman" w:cs="Times New Roman"/>
      <w:sz w:val="18"/>
      <w:szCs w:val="18"/>
    </w:rPr>
  </w:style>
  <w:style w:type="character" w:customStyle="1" w:styleId="Char1">
    <w:name w:val="页脚 Char1"/>
    <w:basedOn w:val="a0"/>
    <w:uiPriority w:val="99"/>
    <w:semiHidden/>
    <w:qFormat/>
    <w:rsid w:val="0025361C"/>
    <w:rPr>
      <w:rFonts w:ascii="Times New Roman" w:eastAsia="宋体" w:hAnsi="Times New Roman" w:cs="Times New Roman"/>
      <w:sz w:val="18"/>
      <w:szCs w:val="18"/>
    </w:rPr>
  </w:style>
  <w:style w:type="paragraph" w:customStyle="1" w:styleId="biaogeleft">
    <w:name w:val="biaoge_left"/>
    <w:basedOn w:val="a"/>
    <w:qFormat/>
    <w:rsid w:val="0025361C"/>
    <w:pPr>
      <w:autoSpaceDE w:val="0"/>
      <w:autoSpaceDN w:val="0"/>
      <w:adjustRightInd w:val="0"/>
      <w:spacing w:before="29" w:line="288" w:lineRule="auto"/>
      <w:ind w:left="15"/>
    </w:pPr>
    <w:rPr>
      <w:rFonts w:ascii="宋体" w:hAnsi="宋体" w:cs="宋体"/>
      <w:kern w:val="0"/>
      <w:sz w:val="24"/>
      <w:szCs w:val="24"/>
    </w:rPr>
  </w:style>
  <w:style w:type="paragraph" w:customStyle="1" w:styleId="zhangjiep2">
    <w:name w:val="zhangjie_p2"/>
    <w:basedOn w:val="a"/>
    <w:qFormat/>
    <w:rsid w:val="0025361C"/>
    <w:pPr>
      <w:autoSpaceDE w:val="0"/>
      <w:autoSpaceDN w:val="0"/>
      <w:adjustRightInd w:val="0"/>
      <w:spacing w:before="24" w:line="288" w:lineRule="auto"/>
      <w:ind w:left="15"/>
    </w:pPr>
    <w:rPr>
      <w:rFonts w:ascii="宋体" w:hAnsi="宋体" w:cs="宋体"/>
      <w:kern w:val="0"/>
      <w:sz w:val="24"/>
      <w:szCs w:val="24"/>
    </w:rPr>
  </w:style>
  <w:style w:type="paragraph" w:customStyle="1" w:styleId="biaogecenter">
    <w:name w:val="biaoge_center"/>
    <w:basedOn w:val="a"/>
    <w:qFormat/>
    <w:rsid w:val="0025361C"/>
    <w:pPr>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25361C"/>
    <w:pPr>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25361C"/>
    <w:pPr>
      <w:jc w:val="both"/>
    </w:pPr>
    <w:rPr>
      <w:kern w:val="2"/>
      <w:sz w:val="21"/>
      <w:szCs w:val="21"/>
    </w:rPr>
  </w:style>
  <w:style w:type="paragraph" w:customStyle="1" w:styleId="biaogeright">
    <w:name w:val="biaoge_right"/>
    <w:basedOn w:val="a"/>
    <w:qFormat/>
    <w:rsid w:val="0025361C"/>
    <w:pPr>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25361C"/>
    <w:pPr>
      <w:autoSpaceDE w:val="0"/>
      <w:autoSpaceDN w:val="0"/>
      <w:adjustRightInd w:val="0"/>
      <w:spacing w:before="29" w:line="288" w:lineRule="auto"/>
      <w:ind w:left="15"/>
    </w:pPr>
    <w:rPr>
      <w:rFonts w:ascii="宋体" w:hAnsi="宋体" w:cs="宋体"/>
      <w:kern w:val="0"/>
      <w:sz w:val="24"/>
      <w:szCs w:val="24"/>
    </w:rPr>
  </w:style>
  <w:style w:type="paragraph" w:customStyle="1" w:styleId="zhangjiep">
    <w:name w:val="zhangjie_p"/>
    <w:basedOn w:val="a"/>
    <w:qFormat/>
    <w:rsid w:val="0025361C"/>
    <w:pPr>
      <w:autoSpaceDE w:val="0"/>
      <w:autoSpaceDN w:val="0"/>
      <w:adjustRightInd w:val="0"/>
      <w:spacing w:before="24" w:line="288" w:lineRule="auto"/>
      <w:ind w:left="15"/>
      <w:outlineLvl w:val="1"/>
    </w:pPr>
    <w:rPr>
      <w:rFonts w:ascii="宋体" w:hAnsi="宋体" w:cs="宋体"/>
      <w:kern w:val="0"/>
      <w:sz w:val="24"/>
      <w:szCs w:val="24"/>
    </w:rPr>
  </w:style>
  <w:style w:type="paragraph" w:customStyle="1" w:styleId="Default">
    <w:name w:val="Default"/>
    <w:qFormat/>
    <w:rsid w:val="0025361C"/>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25361C"/>
    <w:rPr>
      <w:rFonts w:ascii="Times New Roman" w:eastAsia="宋体" w:hAnsi="Times New Roman" w:cs="Times New Roman"/>
      <w:sz w:val="18"/>
      <w:szCs w:val="18"/>
    </w:rPr>
  </w:style>
  <w:style w:type="paragraph" w:customStyle="1" w:styleId="10">
    <w:name w:val="列出段落1"/>
    <w:basedOn w:val="a"/>
    <w:uiPriority w:val="99"/>
    <w:qFormat/>
    <w:rsid w:val="0025361C"/>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420</Words>
  <Characters>2399</Characters>
  <Application>Microsoft Office Word</Application>
  <DocSecurity>0</DocSecurity>
  <Lines>19</Lines>
  <Paragraphs>5</Paragraphs>
  <ScaleCrop>false</ScaleCrop>
  <Company>cc</Company>
  <LinksUpToDate>false</LinksUpToDate>
  <CharactersWithSpaces>2814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2022-07-23T09:20:00Z</dcterms:created>
  <dc:creator>演示人</dc:creator>
  <cp:lastModifiedBy>yytx</cp:lastModifiedBy>
  <dcterms:modified xsi:type="dcterms:W3CDTF">2026-03-27T09:10:00Z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DA7D07A671F94F61B430BF557E8AE20F</vt:lpwstr>
  </property>
</Properties>
</file>