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2"/>
        <w:jc w:val="center"/>
        <w:rPr>
          <w:rFonts w:ascii="黑体" w:hAnsi="黑体" w:eastAsia="黑体"/>
          <w:b/>
          <w:sz w:val="28"/>
          <w:szCs w:val="28"/>
        </w:rPr>
      </w:pPr>
      <w:bookmarkStart w:id="0" w:name="_GoBack"/>
      <w:bookmarkEnd w:id="0"/>
      <w:r>
        <w:rPr>
          <w:rFonts w:hint="eastAsia" w:ascii="黑体" w:hAnsi="黑体" w:eastAsia="黑体"/>
          <w:b/>
          <w:sz w:val="28"/>
          <w:szCs w:val="28"/>
        </w:rPr>
        <w:t>关于部分理财产品变更管理人的公告</w:t>
      </w:r>
    </w:p>
    <w:p>
      <w:pPr>
        <w:ind w:firstLine="0" w:firstLineChars="0"/>
        <w:rPr>
          <w:rFonts w:ascii="仿宋_GB2312" w:eastAsia="仿宋_GB2312"/>
          <w:b/>
        </w:rPr>
      </w:pPr>
      <w:r>
        <w:rPr>
          <w:rFonts w:hint="eastAsia" w:ascii="仿宋_GB2312" w:eastAsia="仿宋_GB2312"/>
          <w:b/>
        </w:rPr>
        <w:t>尊敬的投资者：</w:t>
      </w:r>
    </w:p>
    <w:p>
      <w:pPr>
        <w:ind w:firstLine="422"/>
        <w:outlineLvl w:val="0"/>
        <w:rPr>
          <w:rFonts w:ascii="仿宋_GB2312" w:eastAsia="仿宋_GB2312"/>
          <w:b/>
        </w:rPr>
      </w:pPr>
      <w:r>
        <w:rPr>
          <w:rFonts w:hint="eastAsia" w:ascii="仿宋_GB2312" w:eastAsia="仿宋_GB2312"/>
          <w:b/>
        </w:rPr>
        <w:t>一、兴银理财有限责任公司已成立</w:t>
      </w:r>
    </w:p>
    <w:p>
      <w:pPr>
        <w:ind w:firstLine="420"/>
        <w:rPr>
          <w:rFonts w:ascii="仿宋_GB2312" w:eastAsia="仿宋_GB2312"/>
        </w:rPr>
      </w:pPr>
      <w:r>
        <w:rPr>
          <w:rFonts w:hint="eastAsia" w:ascii="仿宋_GB2312" w:eastAsia="仿宋_GB2312"/>
        </w:rPr>
        <w:t>《商业银行理财业务监督管理办法》（银保监会令2018年第6号）第十四条规定“</w:t>
      </w:r>
      <w:r>
        <w:rPr>
          <w:rFonts w:hint="eastAsia" w:ascii="黑体" w:hAnsi="黑体" w:eastAsia="黑体"/>
        </w:rPr>
        <w:t>商业银行应当通过具有独立法人地位的子公司开展理财业务。</w:t>
      </w:r>
      <w:r>
        <w:rPr>
          <w:rFonts w:hint="eastAsia" w:ascii="仿宋_GB2312" w:eastAsia="仿宋_GB2312"/>
        </w:rPr>
        <w:t>”经中国银保监会批准，兴银理财有限责任公司（以下简称“兴银理财”），已于2019年12月正式成立。兴银理财是兴业银行股份有限公司（以下简称“兴业银行”）</w:t>
      </w:r>
      <w:r>
        <w:rPr>
          <w:rFonts w:ascii="仿宋_GB2312" w:eastAsia="仿宋_GB2312"/>
        </w:rPr>
        <w:t>100%</w:t>
      </w:r>
      <w:r>
        <w:rPr>
          <w:rFonts w:hint="eastAsia" w:ascii="仿宋_GB2312" w:eastAsia="仿宋_GB2312"/>
        </w:rPr>
        <w:t>控股的全资子公司，更是兴业银行旗下专业从事资产管理业务/理财业务、发行资产管理产品/理财产品的持牌金融机构。兴银理财注册资本为</w:t>
      </w:r>
      <w:r>
        <w:rPr>
          <w:rFonts w:ascii="仿宋_GB2312" w:eastAsia="仿宋_GB2312"/>
        </w:rPr>
        <w:t>50亿元人民币，</w:t>
      </w:r>
      <w:r>
        <w:rPr>
          <w:rFonts w:hint="eastAsia" w:ascii="仿宋_GB2312" w:eastAsia="仿宋_GB2312"/>
        </w:rPr>
        <w:t>注册地为福建省福州市，主要业务范围为：面向不特定社会公众公开发行理财产品，对受托的投资者财产进行投资和管理；面向合格投资者非公开发行理财产品，对受托的投资者财产进行投资和管理；理财顾问和咨询服务；经银保监会批准的其他业务等。</w:t>
      </w:r>
    </w:p>
    <w:p>
      <w:pPr>
        <w:ind w:firstLine="422"/>
        <w:outlineLvl w:val="0"/>
        <w:rPr>
          <w:rFonts w:ascii="仿宋_GB2312" w:eastAsia="仿宋_GB2312"/>
          <w:b/>
        </w:rPr>
      </w:pPr>
      <w:r>
        <w:rPr>
          <w:rFonts w:hint="eastAsia" w:ascii="仿宋_GB2312" w:eastAsia="仿宋_GB2312"/>
          <w:b/>
        </w:rPr>
        <w:t>二、理财产品管理人的变更</w:t>
      </w:r>
    </w:p>
    <w:p>
      <w:pPr>
        <w:ind w:firstLine="420"/>
        <w:rPr>
          <w:rFonts w:ascii="仿宋_GB2312" w:eastAsia="仿宋_GB2312"/>
        </w:rPr>
      </w:pPr>
      <w:r>
        <w:rPr>
          <w:rFonts w:hint="eastAsia" w:ascii="仿宋_GB2312" w:eastAsia="仿宋_GB2312"/>
        </w:rPr>
        <w:t>出于专业分工的考虑，部分存续理财产品的管理人正式将由兴业银行变更为兴银理财。兴业银行发行的如下理财产品（详见附件1：理财产品清单）将于【202</w:t>
      </w:r>
      <w:r>
        <w:rPr>
          <w:rFonts w:ascii="仿宋_GB2312" w:eastAsia="仿宋_GB2312"/>
        </w:rPr>
        <w:t>2</w:t>
      </w:r>
      <w:r>
        <w:rPr>
          <w:rFonts w:hint="eastAsia" w:ascii="仿宋_GB2312" w:eastAsia="仿宋_GB2312"/>
        </w:rPr>
        <w:t>】年【1</w:t>
      </w:r>
      <w:r>
        <w:rPr>
          <w:rFonts w:hint="eastAsia" w:ascii="仿宋_GB2312" w:eastAsia="仿宋_GB2312"/>
          <w:lang w:val="en-US" w:eastAsia="zh-CN"/>
        </w:rPr>
        <w:t>2</w:t>
      </w:r>
      <w:r>
        <w:rPr>
          <w:rFonts w:hint="eastAsia" w:ascii="仿宋_GB2312" w:eastAsia="仿宋_GB2312"/>
        </w:rPr>
        <w:t>】月【1】日正式移交由兴银理财管理，移交理财产品所对应的理财产品销售文件项下，兴业银行作为产品管理人所承担的权利和义务自移交当日自动、全部转由兴银理财有限责任公司承继，理财产品管理人相应变更为兴银理财。</w:t>
      </w:r>
    </w:p>
    <w:p>
      <w:pPr>
        <w:ind w:firstLine="420"/>
        <w:rPr>
          <w:rFonts w:ascii="仿宋_GB2312" w:eastAsia="仿宋_GB2312"/>
        </w:rPr>
      </w:pPr>
      <w:r>
        <w:rPr>
          <w:rFonts w:hint="eastAsia" w:ascii="仿宋_GB2312" w:eastAsia="仿宋_GB2312"/>
        </w:rPr>
        <w:t>理财产品销售文件将于移交当日同步更新，主要调整内容包括但不限于：理财产品管理人、代销机构、代销风险、关联方、产品销售起点及估值方式等。新理财产品销售文件内容将按照最新的法律法规及监管要求执行。产品管理人变更后，您可继续按照更新后的理财销售文件的约定，享有相关投资者权利。</w:t>
      </w:r>
    </w:p>
    <w:p>
      <w:pPr>
        <w:ind w:firstLine="420"/>
        <w:rPr>
          <w:rFonts w:ascii="仿宋_GB2312" w:eastAsia="仿宋_GB2312"/>
        </w:rPr>
      </w:pPr>
      <w:r>
        <w:rPr>
          <w:rFonts w:hint="eastAsia" w:ascii="仿宋_GB2312" w:eastAsia="仿宋_GB2312"/>
        </w:rPr>
        <w:t>兴银理财将在全国银行业理财信息登记系统登记理财产品划转信息，移交后的产品在全国银行业理财信息登记系统中的募集起始日期、募集结束日期、产品起始日期将变更为移交当日，但产品的存续期限不受该等变更影响。兴银理财提供管理人变更前后的产品登记编码对应关系以便于投资者查询（详见附件1：理财产品清单）。</w:t>
      </w:r>
    </w:p>
    <w:p>
      <w:pPr>
        <w:ind w:firstLine="422"/>
        <w:outlineLvl w:val="0"/>
        <w:rPr>
          <w:rFonts w:ascii="仿宋_GB2312" w:eastAsia="仿宋_GB2312"/>
          <w:b/>
        </w:rPr>
      </w:pPr>
      <w:r>
        <w:rPr>
          <w:rFonts w:hint="eastAsia" w:ascii="仿宋_GB2312" w:eastAsia="仿宋_GB2312"/>
          <w:b/>
        </w:rPr>
        <w:t>三、特别说明</w:t>
      </w:r>
    </w:p>
    <w:p>
      <w:pPr>
        <w:ind w:firstLine="422"/>
        <w:rPr>
          <w:rFonts w:ascii="仿宋_GB2312" w:eastAsia="仿宋_GB2312"/>
          <w:b/>
        </w:rPr>
      </w:pPr>
      <w:r>
        <w:rPr>
          <w:rFonts w:hint="eastAsia" w:ascii="仿宋_GB2312" w:eastAsia="仿宋_GB2312"/>
          <w:b/>
        </w:rPr>
        <w:t>兴银理财作为兴业银行</w:t>
      </w:r>
      <w:r>
        <w:rPr>
          <w:rFonts w:ascii="仿宋_GB2312" w:eastAsia="仿宋_GB2312"/>
          <w:b/>
        </w:rPr>
        <w:t>100%</w:t>
      </w:r>
      <w:r>
        <w:rPr>
          <w:rFonts w:hint="eastAsia" w:ascii="仿宋_GB2312" w:eastAsia="仿宋_GB2312"/>
          <w:b/>
        </w:rPr>
        <w:t>控股的专门从事资产管理业务</w:t>
      </w:r>
      <w:r>
        <w:rPr>
          <w:rFonts w:ascii="仿宋_GB2312" w:eastAsia="仿宋_GB2312"/>
          <w:b/>
        </w:rPr>
        <w:t>/</w:t>
      </w:r>
      <w:r>
        <w:rPr>
          <w:rFonts w:hint="eastAsia" w:ascii="仿宋_GB2312" w:eastAsia="仿宋_GB2312"/>
          <w:b/>
        </w:rPr>
        <w:t>理财业务的银行理财子公司，将承接兴业银行原从事理财产品投资管理运作相关的专业人员，该等变更不会造成管理人经验、技能等的减弱，也不会因管理人的变更给理财产品的收益表现带来负面影响。</w:t>
      </w:r>
    </w:p>
    <w:p>
      <w:pPr>
        <w:ind w:firstLine="420"/>
        <w:rPr>
          <w:rFonts w:ascii="仿宋_GB2312" w:eastAsia="仿宋_GB2312"/>
        </w:rPr>
      </w:pPr>
    </w:p>
    <w:p>
      <w:pPr>
        <w:ind w:firstLine="420"/>
        <w:rPr>
          <w:rFonts w:ascii="仿宋_GB2312" w:eastAsia="仿宋_GB2312"/>
        </w:rPr>
      </w:pPr>
      <w:r>
        <w:rPr>
          <w:rFonts w:hint="eastAsia" w:ascii="仿宋_GB2312" w:eastAsia="仿宋_GB2312"/>
        </w:rPr>
        <w:t>兴银理财有限责任有限公司将本着勤勉尽责的原则持续为客户提供专业的理财服务，如您对产品管理人变更有疑问可向兴业银行客户服务热线【</w:t>
      </w:r>
      <w:r>
        <w:rPr>
          <w:rFonts w:ascii="仿宋_GB2312" w:eastAsia="仿宋_GB2312"/>
        </w:rPr>
        <w:t>95561</w:t>
      </w:r>
      <w:r>
        <w:rPr>
          <w:rFonts w:hint="eastAsia" w:ascii="仿宋_GB2312" w:eastAsia="仿宋_GB2312"/>
        </w:rPr>
        <w:t>】反馈。</w:t>
      </w:r>
    </w:p>
    <w:p>
      <w:pPr>
        <w:ind w:firstLine="420"/>
        <w:rPr>
          <w:rFonts w:ascii="仿宋_GB2312" w:eastAsia="仿宋_GB2312"/>
        </w:rPr>
      </w:pPr>
      <w:r>
        <w:rPr>
          <w:rFonts w:hint="eastAsia" w:ascii="仿宋_GB2312" w:eastAsia="仿宋_GB2312"/>
        </w:rPr>
        <w:t>特此公告。</w:t>
      </w:r>
    </w:p>
    <w:p>
      <w:pPr>
        <w:ind w:right="105" w:firstLine="422"/>
        <w:jc w:val="left"/>
        <w:rPr>
          <w:rFonts w:ascii="仿宋_GB2312" w:eastAsia="仿宋_GB2312"/>
        </w:rPr>
      </w:pPr>
      <w:r>
        <w:rPr>
          <w:rFonts w:hint="eastAsia" w:ascii="仿宋_GB2312" w:eastAsia="仿宋_GB2312"/>
          <w:b/>
        </w:rPr>
        <w:t>附件1：理财产品清单</w:t>
      </w:r>
    </w:p>
    <w:p>
      <w:pPr>
        <w:ind w:right="105" w:firstLine="420"/>
        <w:jc w:val="right"/>
        <w:rPr>
          <w:rFonts w:ascii="仿宋_GB2312" w:eastAsia="仿宋_GB2312"/>
        </w:rPr>
      </w:pPr>
      <w:r>
        <w:rPr>
          <w:rFonts w:hint="eastAsia" w:ascii="仿宋_GB2312" w:eastAsia="仿宋_GB2312"/>
        </w:rPr>
        <w:t>兴业银行股份有限公司</w:t>
      </w:r>
    </w:p>
    <w:p>
      <w:pPr>
        <w:ind w:right="105" w:firstLine="420"/>
        <w:jc w:val="right"/>
        <w:rPr>
          <w:rFonts w:ascii="仿宋_GB2312" w:eastAsia="仿宋_GB2312"/>
        </w:rPr>
      </w:pPr>
      <w:r>
        <w:rPr>
          <w:rFonts w:hint="eastAsia" w:ascii="仿宋_GB2312" w:eastAsia="仿宋_GB2312"/>
        </w:rPr>
        <w:t>兴银理财有限责任公司</w:t>
      </w:r>
    </w:p>
    <w:p>
      <w:pPr>
        <w:ind w:firstLine="420"/>
        <w:jc w:val="right"/>
        <w:rPr>
          <w:rFonts w:ascii="仿宋_GB2312" w:eastAsia="仿宋_GB2312"/>
        </w:rPr>
      </w:pPr>
      <w:r>
        <w:rPr>
          <w:rFonts w:hint="eastAsia" w:ascii="仿宋_GB2312" w:eastAsia="仿宋_GB2312"/>
        </w:rPr>
        <w:t>【202</w:t>
      </w:r>
      <w:r>
        <w:rPr>
          <w:rFonts w:ascii="仿宋_GB2312" w:eastAsia="仿宋_GB2312"/>
        </w:rPr>
        <w:t>2</w:t>
      </w:r>
      <w:r>
        <w:rPr>
          <w:rFonts w:hint="eastAsia" w:ascii="仿宋_GB2312" w:eastAsia="仿宋_GB2312"/>
        </w:rPr>
        <w:t>】年【1</w:t>
      </w:r>
      <w:r>
        <w:rPr>
          <w:rFonts w:hint="eastAsia" w:ascii="仿宋_GB2312" w:eastAsia="仿宋_GB2312"/>
          <w:lang w:val="en-US" w:eastAsia="zh-CN"/>
        </w:rPr>
        <w:t>1</w:t>
      </w:r>
      <w:r>
        <w:rPr>
          <w:rFonts w:hint="eastAsia" w:ascii="仿宋_GB2312" w:eastAsia="仿宋_GB2312"/>
        </w:rPr>
        <w:t>】月【2</w:t>
      </w:r>
      <w:r>
        <w:rPr>
          <w:rFonts w:hint="eastAsia" w:ascii="仿宋_GB2312" w:eastAsia="仿宋_GB2312"/>
          <w:lang w:val="en-US" w:eastAsia="zh-CN"/>
        </w:rPr>
        <w:t>4</w:t>
      </w:r>
      <w:r>
        <w:rPr>
          <w:rFonts w:hint="eastAsia" w:ascii="仿宋_GB2312" w:eastAsia="仿宋_GB2312"/>
        </w:rPr>
        <w:t>】日</w:t>
      </w:r>
    </w:p>
    <w:p>
      <w:pPr>
        <w:ind w:right="525" w:firstLine="420"/>
        <w:rPr>
          <w:rFonts w:ascii="仿宋_GB2312" w:eastAsia="仿宋_GB2312"/>
          <w:b/>
        </w:rPr>
      </w:pPr>
      <w:r>
        <w:rPr>
          <w:rFonts w:ascii="仿宋_GB2312" w:eastAsia="仿宋_GB2312"/>
        </w:rPr>
        <w:br w:type="page"/>
      </w:r>
      <w:r>
        <w:rPr>
          <w:rFonts w:hint="eastAsia" w:ascii="仿宋_GB2312" w:eastAsia="仿宋_GB2312"/>
          <w:b/>
        </w:rPr>
        <w:t>附件1：理财产品清单</w:t>
      </w:r>
    </w:p>
    <w:tbl>
      <w:tblPr>
        <w:tblStyle w:val="6"/>
        <w:tblW w:w="842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418"/>
        <w:gridCol w:w="2551"/>
        <w:gridCol w:w="1843"/>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724" w:type="dxa"/>
            <w:shd w:val="clear" w:color="auto" w:fill="auto"/>
            <w:vAlign w:val="center"/>
          </w:tcPr>
          <w:p>
            <w:pPr>
              <w:widowControl/>
              <w:spacing w:line="240" w:lineRule="auto"/>
              <w:ind w:firstLine="0" w:firstLineChars="0"/>
              <w:jc w:val="center"/>
              <w:rPr>
                <w:rFonts w:ascii="宋体" w:hAnsi="宋体" w:eastAsia="宋体" w:cs="宋体"/>
                <w:color w:val="000000"/>
                <w:kern w:val="0"/>
                <w:sz w:val="20"/>
              </w:rPr>
            </w:pPr>
            <w:r>
              <w:rPr>
                <w:rFonts w:hint="eastAsia" w:ascii="宋体" w:hAnsi="宋体" w:eastAsia="宋体" w:cs="宋体"/>
                <w:color w:val="000000"/>
                <w:kern w:val="0"/>
                <w:sz w:val="20"/>
              </w:rPr>
              <w:t>编号</w:t>
            </w:r>
          </w:p>
        </w:tc>
        <w:tc>
          <w:tcPr>
            <w:tcW w:w="1418" w:type="dxa"/>
            <w:shd w:val="clear" w:color="auto" w:fill="auto"/>
            <w:vAlign w:val="center"/>
          </w:tcPr>
          <w:p>
            <w:pPr>
              <w:widowControl/>
              <w:spacing w:line="240" w:lineRule="auto"/>
              <w:ind w:firstLine="0" w:firstLineChars="0"/>
              <w:jc w:val="center"/>
              <w:rPr>
                <w:rFonts w:ascii="宋体" w:hAnsi="宋体" w:eastAsia="宋体" w:cs="宋体"/>
                <w:color w:val="000000"/>
                <w:kern w:val="0"/>
                <w:sz w:val="20"/>
              </w:rPr>
            </w:pPr>
            <w:r>
              <w:rPr>
                <w:rFonts w:hint="eastAsia" w:ascii="宋体" w:hAnsi="宋体" w:eastAsia="宋体" w:cs="宋体"/>
                <w:color w:val="000000"/>
                <w:kern w:val="0"/>
                <w:sz w:val="20"/>
              </w:rPr>
              <w:t>产品代码</w:t>
            </w:r>
          </w:p>
        </w:tc>
        <w:tc>
          <w:tcPr>
            <w:tcW w:w="2551" w:type="dxa"/>
            <w:shd w:val="clear" w:color="auto" w:fill="auto"/>
            <w:vAlign w:val="center"/>
          </w:tcPr>
          <w:p>
            <w:pPr>
              <w:widowControl/>
              <w:spacing w:line="240" w:lineRule="auto"/>
              <w:ind w:firstLine="0" w:firstLineChars="0"/>
              <w:jc w:val="center"/>
              <w:rPr>
                <w:rFonts w:ascii="宋体" w:hAnsi="宋体" w:eastAsia="宋体" w:cs="宋体"/>
                <w:color w:val="000000"/>
                <w:kern w:val="0"/>
                <w:sz w:val="20"/>
              </w:rPr>
            </w:pPr>
            <w:r>
              <w:rPr>
                <w:rFonts w:hint="eastAsia" w:ascii="宋体" w:hAnsi="宋体" w:eastAsia="宋体" w:cs="宋体"/>
                <w:color w:val="000000"/>
                <w:kern w:val="0"/>
                <w:sz w:val="20"/>
              </w:rPr>
              <w:t>理财产品名称</w:t>
            </w:r>
          </w:p>
        </w:tc>
        <w:tc>
          <w:tcPr>
            <w:tcW w:w="1843" w:type="dxa"/>
            <w:shd w:val="clear" w:color="auto" w:fill="auto"/>
            <w:vAlign w:val="center"/>
          </w:tcPr>
          <w:p>
            <w:pPr>
              <w:widowControl/>
              <w:spacing w:line="240" w:lineRule="auto"/>
              <w:ind w:firstLine="0" w:firstLineChars="0"/>
              <w:jc w:val="center"/>
              <w:rPr>
                <w:rFonts w:ascii="宋体" w:hAnsi="宋体" w:eastAsia="宋体" w:cs="宋体"/>
                <w:color w:val="000000"/>
                <w:kern w:val="0"/>
                <w:sz w:val="20"/>
              </w:rPr>
            </w:pPr>
            <w:r>
              <w:rPr>
                <w:rFonts w:hint="eastAsia" w:ascii="宋体" w:hAnsi="宋体" w:eastAsia="宋体" w:cs="宋体"/>
                <w:color w:val="000000"/>
                <w:kern w:val="0"/>
                <w:sz w:val="20"/>
              </w:rPr>
              <w:t>变更前理财产品登记编码</w:t>
            </w:r>
          </w:p>
        </w:tc>
        <w:tc>
          <w:tcPr>
            <w:tcW w:w="1893" w:type="dxa"/>
            <w:shd w:val="clear" w:color="auto" w:fill="auto"/>
            <w:vAlign w:val="center"/>
          </w:tcPr>
          <w:p>
            <w:pPr>
              <w:widowControl/>
              <w:spacing w:line="240" w:lineRule="auto"/>
              <w:ind w:firstLine="0" w:firstLineChars="0"/>
              <w:jc w:val="center"/>
              <w:rPr>
                <w:rFonts w:ascii="宋体" w:hAnsi="宋体" w:eastAsia="宋体" w:cs="宋体"/>
                <w:color w:val="000000"/>
                <w:kern w:val="0"/>
                <w:sz w:val="20"/>
              </w:rPr>
            </w:pPr>
            <w:r>
              <w:rPr>
                <w:rFonts w:hint="eastAsia" w:ascii="宋体" w:hAnsi="宋体" w:eastAsia="宋体" w:cs="宋体"/>
                <w:color w:val="000000"/>
                <w:kern w:val="0"/>
                <w:sz w:val="20"/>
              </w:rPr>
              <w:t>变更后理财产品登记编码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724" w:type="dxa"/>
            <w:shd w:val="clear" w:color="auto" w:fill="auto"/>
            <w:vAlign w:val="center"/>
          </w:tcPr>
          <w:p>
            <w:pPr>
              <w:widowControl/>
              <w:spacing w:line="240" w:lineRule="auto"/>
              <w:ind w:firstLine="0" w:firstLineChars="0"/>
              <w:jc w:val="center"/>
              <w:rPr>
                <w:rFonts w:ascii="宋体" w:hAnsi="宋体" w:eastAsia="宋体" w:cs="宋体"/>
                <w:color w:val="000000"/>
                <w:kern w:val="0"/>
                <w:sz w:val="20"/>
              </w:rPr>
            </w:pPr>
            <w:r>
              <w:rPr>
                <w:rFonts w:hint="eastAsia" w:ascii="宋体" w:hAnsi="宋体" w:eastAsia="宋体" w:cs="宋体"/>
                <w:color w:val="000000"/>
                <w:kern w:val="0"/>
                <w:sz w:val="20"/>
              </w:rPr>
              <w:t>1</w:t>
            </w:r>
          </w:p>
        </w:tc>
        <w:tc>
          <w:tcPr>
            <w:tcW w:w="1418" w:type="dxa"/>
            <w:shd w:val="clear" w:color="auto" w:fill="auto"/>
            <w:vAlign w:val="center"/>
          </w:tcPr>
          <w:p>
            <w:pPr>
              <w:widowControl/>
              <w:ind w:firstLine="0" w:firstLineChars="0"/>
              <w:jc w:val="left"/>
              <w:textAlignment w:val="center"/>
              <w:rPr>
                <w:rFonts w:ascii="宋体" w:hAnsi="宋体" w:eastAsia="宋体" w:cs="宋体"/>
                <w:color w:val="000000"/>
                <w:kern w:val="0"/>
                <w:sz w:val="20"/>
              </w:rPr>
            </w:pPr>
            <w:r>
              <w:rPr>
                <w:rFonts w:hint="eastAsia" w:ascii="宋体" w:hAnsi="宋体" w:eastAsia="宋体" w:cs="宋体"/>
                <w:color w:val="000000"/>
                <w:kern w:val="0"/>
                <w:sz w:val="20"/>
                <w:szCs w:val="20"/>
                <w:lang w:bidi="ar"/>
              </w:rPr>
              <w:t>90318011</w:t>
            </w:r>
          </w:p>
        </w:tc>
        <w:tc>
          <w:tcPr>
            <w:tcW w:w="2551" w:type="dxa"/>
            <w:shd w:val="clear" w:color="auto" w:fill="auto"/>
            <w:vAlign w:val="center"/>
          </w:tcPr>
          <w:p>
            <w:pPr>
              <w:widowControl/>
              <w:ind w:firstLine="0" w:firstLineChars="0"/>
              <w:jc w:val="left"/>
              <w:textAlignment w:val="center"/>
              <w:rPr>
                <w:rFonts w:ascii="宋体" w:hAnsi="宋体" w:eastAsia="宋体" w:cs="宋体"/>
                <w:color w:val="000000"/>
                <w:kern w:val="0"/>
                <w:sz w:val="20"/>
              </w:rPr>
            </w:pPr>
            <w:r>
              <w:rPr>
                <w:rFonts w:hint="eastAsia" w:ascii="宋体" w:hAnsi="宋体" w:eastAsia="宋体" w:cs="宋体"/>
                <w:color w:val="000000"/>
                <w:kern w:val="0"/>
                <w:sz w:val="20"/>
              </w:rPr>
              <w:t>兴业银行“现金宝-添利1号”净值型理财产品</w:t>
            </w:r>
          </w:p>
        </w:tc>
        <w:tc>
          <w:tcPr>
            <w:tcW w:w="1843" w:type="dxa"/>
            <w:shd w:val="clear" w:color="auto" w:fill="auto"/>
            <w:vAlign w:val="center"/>
          </w:tcPr>
          <w:p>
            <w:pPr>
              <w:widowControl/>
              <w:ind w:firstLine="0" w:firstLineChars="0"/>
              <w:jc w:val="left"/>
              <w:textAlignment w:val="center"/>
              <w:rPr>
                <w:rFonts w:ascii="宋体" w:hAnsi="宋体" w:eastAsia="宋体" w:cs="宋体"/>
                <w:color w:val="000000"/>
                <w:kern w:val="0"/>
                <w:sz w:val="20"/>
              </w:rPr>
            </w:pPr>
            <w:r>
              <w:rPr>
                <w:rFonts w:ascii="宋体" w:hAnsi="宋体" w:eastAsia="宋体" w:cs="宋体"/>
                <w:color w:val="000000"/>
                <w:kern w:val="0"/>
                <w:sz w:val="20"/>
              </w:rPr>
              <w:t>C1030918000502</w:t>
            </w:r>
          </w:p>
        </w:tc>
        <w:tc>
          <w:tcPr>
            <w:tcW w:w="1893" w:type="dxa"/>
            <w:shd w:val="clear" w:color="auto" w:fill="auto"/>
            <w:vAlign w:val="center"/>
          </w:tcPr>
          <w:p>
            <w:pPr>
              <w:widowControl/>
              <w:ind w:firstLine="0" w:firstLineChars="0"/>
              <w:jc w:val="left"/>
              <w:textAlignment w:val="center"/>
              <w:rPr>
                <w:rFonts w:ascii="宋体" w:hAnsi="宋体" w:eastAsia="宋体" w:cs="宋体"/>
                <w:color w:val="000000"/>
                <w:kern w:val="0"/>
                <w:sz w:val="20"/>
              </w:rPr>
            </w:pPr>
            <w:r>
              <w:rPr>
                <w:rFonts w:ascii="宋体" w:hAnsi="宋体" w:eastAsia="宋体" w:cs="宋体"/>
                <w:color w:val="000000"/>
                <w:kern w:val="0"/>
                <w:sz w:val="20"/>
              </w:rPr>
              <w:t>Z7002020000001</w:t>
            </w:r>
          </w:p>
        </w:tc>
      </w:tr>
    </w:tbl>
    <w:p>
      <w:pPr>
        <w:widowControl/>
        <w:ind w:firstLine="420"/>
        <w:jc w:val="left"/>
        <w:rPr>
          <w:rFonts w:ascii="仿宋_GB2312" w:eastAsia="仿宋_GB231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3C4"/>
    <w:rsid w:val="00004BA2"/>
    <w:rsid w:val="00013D8C"/>
    <w:rsid w:val="000145EC"/>
    <w:rsid w:val="00023A1B"/>
    <w:rsid w:val="00054A52"/>
    <w:rsid w:val="0007788A"/>
    <w:rsid w:val="000A3881"/>
    <w:rsid w:val="000B126B"/>
    <w:rsid w:val="000B3EB5"/>
    <w:rsid w:val="000D31EE"/>
    <w:rsid w:val="000D53C5"/>
    <w:rsid w:val="000E1EDF"/>
    <w:rsid w:val="000E2F44"/>
    <w:rsid w:val="000E6EC1"/>
    <w:rsid w:val="000F3F4B"/>
    <w:rsid w:val="00127608"/>
    <w:rsid w:val="00144C49"/>
    <w:rsid w:val="001503D1"/>
    <w:rsid w:val="00171D76"/>
    <w:rsid w:val="00180D47"/>
    <w:rsid w:val="001853C4"/>
    <w:rsid w:val="00197333"/>
    <w:rsid w:val="001A7357"/>
    <w:rsid w:val="001A7AB5"/>
    <w:rsid w:val="001B2F70"/>
    <w:rsid w:val="001B3974"/>
    <w:rsid w:val="001B5272"/>
    <w:rsid w:val="001D1D3A"/>
    <w:rsid w:val="001E069B"/>
    <w:rsid w:val="00237CE3"/>
    <w:rsid w:val="002513B0"/>
    <w:rsid w:val="00253819"/>
    <w:rsid w:val="002613BD"/>
    <w:rsid w:val="00264464"/>
    <w:rsid w:val="00267E5E"/>
    <w:rsid w:val="00277214"/>
    <w:rsid w:val="00277CE6"/>
    <w:rsid w:val="00293563"/>
    <w:rsid w:val="0029479C"/>
    <w:rsid w:val="002A3607"/>
    <w:rsid w:val="002C040C"/>
    <w:rsid w:val="002F5D82"/>
    <w:rsid w:val="003235DF"/>
    <w:rsid w:val="003268B9"/>
    <w:rsid w:val="003405C4"/>
    <w:rsid w:val="003433AF"/>
    <w:rsid w:val="003603CC"/>
    <w:rsid w:val="00362B36"/>
    <w:rsid w:val="00363371"/>
    <w:rsid w:val="00363FA2"/>
    <w:rsid w:val="00364480"/>
    <w:rsid w:val="00371782"/>
    <w:rsid w:val="00371C56"/>
    <w:rsid w:val="00377E2C"/>
    <w:rsid w:val="00385B05"/>
    <w:rsid w:val="003B6932"/>
    <w:rsid w:val="003C3C15"/>
    <w:rsid w:val="003D35AE"/>
    <w:rsid w:val="003D5D9C"/>
    <w:rsid w:val="003D634E"/>
    <w:rsid w:val="003E3923"/>
    <w:rsid w:val="003E7365"/>
    <w:rsid w:val="003F0DF3"/>
    <w:rsid w:val="003F4985"/>
    <w:rsid w:val="003F55CB"/>
    <w:rsid w:val="003F6A30"/>
    <w:rsid w:val="0040086D"/>
    <w:rsid w:val="00402A54"/>
    <w:rsid w:val="00406346"/>
    <w:rsid w:val="0040643D"/>
    <w:rsid w:val="004166E1"/>
    <w:rsid w:val="00424585"/>
    <w:rsid w:val="00437C28"/>
    <w:rsid w:val="004479A3"/>
    <w:rsid w:val="004539D3"/>
    <w:rsid w:val="00461653"/>
    <w:rsid w:val="00465DBD"/>
    <w:rsid w:val="00495903"/>
    <w:rsid w:val="00495EBF"/>
    <w:rsid w:val="004976EB"/>
    <w:rsid w:val="004A2A43"/>
    <w:rsid w:val="004A55BD"/>
    <w:rsid w:val="004B41E9"/>
    <w:rsid w:val="004C11FE"/>
    <w:rsid w:val="004D2F70"/>
    <w:rsid w:val="004E59BE"/>
    <w:rsid w:val="004E61E0"/>
    <w:rsid w:val="004F0315"/>
    <w:rsid w:val="004F2001"/>
    <w:rsid w:val="004F522D"/>
    <w:rsid w:val="00502F2A"/>
    <w:rsid w:val="00505757"/>
    <w:rsid w:val="0051778A"/>
    <w:rsid w:val="00596B2C"/>
    <w:rsid w:val="005B0D32"/>
    <w:rsid w:val="005C040A"/>
    <w:rsid w:val="005C6D09"/>
    <w:rsid w:val="005D2659"/>
    <w:rsid w:val="005F3CEB"/>
    <w:rsid w:val="006132C7"/>
    <w:rsid w:val="006164BF"/>
    <w:rsid w:val="006253AC"/>
    <w:rsid w:val="006346B5"/>
    <w:rsid w:val="00637778"/>
    <w:rsid w:val="00664252"/>
    <w:rsid w:val="006A4598"/>
    <w:rsid w:val="006B0C59"/>
    <w:rsid w:val="006B1FE4"/>
    <w:rsid w:val="006B709D"/>
    <w:rsid w:val="006C2545"/>
    <w:rsid w:val="006C3761"/>
    <w:rsid w:val="006D6368"/>
    <w:rsid w:val="006E4B2F"/>
    <w:rsid w:val="00725276"/>
    <w:rsid w:val="007358CE"/>
    <w:rsid w:val="007414D2"/>
    <w:rsid w:val="0076390D"/>
    <w:rsid w:val="00770B80"/>
    <w:rsid w:val="007A49EE"/>
    <w:rsid w:val="007B08FF"/>
    <w:rsid w:val="007B354F"/>
    <w:rsid w:val="007C5A04"/>
    <w:rsid w:val="007D2951"/>
    <w:rsid w:val="007D4C5E"/>
    <w:rsid w:val="007E2FB6"/>
    <w:rsid w:val="00800D6C"/>
    <w:rsid w:val="008107DB"/>
    <w:rsid w:val="00812037"/>
    <w:rsid w:val="0082024B"/>
    <w:rsid w:val="00825EB9"/>
    <w:rsid w:val="0087146A"/>
    <w:rsid w:val="00873783"/>
    <w:rsid w:val="008755AD"/>
    <w:rsid w:val="0087799C"/>
    <w:rsid w:val="008833DC"/>
    <w:rsid w:val="00884DF6"/>
    <w:rsid w:val="008940F0"/>
    <w:rsid w:val="008949BF"/>
    <w:rsid w:val="008A13A8"/>
    <w:rsid w:val="008A5A29"/>
    <w:rsid w:val="008C2283"/>
    <w:rsid w:val="008C268A"/>
    <w:rsid w:val="008C3260"/>
    <w:rsid w:val="008C3BE4"/>
    <w:rsid w:val="008E5E44"/>
    <w:rsid w:val="008F0540"/>
    <w:rsid w:val="009047E7"/>
    <w:rsid w:val="00920087"/>
    <w:rsid w:val="009362C7"/>
    <w:rsid w:val="009528CE"/>
    <w:rsid w:val="0095295E"/>
    <w:rsid w:val="0095399D"/>
    <w:rsid w:val="009555A7"/>
    <w:rsid w:val="009707AF"/>
    <w:rsid w:val="00972F5D"/>
    <w:rsid w:val="009A0D7F"/>
    <w:rsid w:val="009B0333"/>
    <w:rsid w:val="009D79CB"/>
    <w:rsid w:val="009E16DA"/>
    <w:rsid w:val="009E321E"/>
    <w:rsid w:val="009F1FF1"/>
    <w:rsid w:val="009F63E0"/>
    <w:rsid w:val="00A00959"/>
    <w:rsid w:val="00A21965"/>
    <w:rsid w:val="00A341E8"/>
    <w:rsid w:val="00A3504D"/>
    <w:rsid w:val="00A51C79"/>
    <w:rsid w:val="00A5744C"/>
    <w:rsid w:val="00A80D61"/>
    <w:rsid w:val="00A84AF7"/>
    <w:rsid w:val="00A92F22"/>
    <w:rsid w:val="00AC4B7E"/>
    <w:rsid w:val="00AE6E09"/>
    <w:rsid w:val="00AF7597"/>
    <w:rsid w:val="00AF7680"/>
    <w:rsid w:val="00B11103"/>
    <w:rsid w:val="00B15AEE"/>
    <w:rsid w:val="00B2661E"/>
    <w:rsid w:val="00B3380A"/>
    <w:rsid w:val="00B37B06"/>
    <w:rsid w:val="00B51DEC"/>
    <w:rsid w:val="00B529B9"/>
    <w:rsid w:val="00B5556E"/>
    <w:rsid w:val="00B64AAC"/>
    <w:rsid w:val="00B718BB"/>
    <w:rsid w:val="00B758EA"/>
    <w:rsid w:val="00B86C79"/>
    <w:rsid w:val="00B930B1"/>
    <w:rsid w:val="00BA7B7A"/>
    <w:rsid w:val="00BB471A"/>
    <w:rsid w:val="00BB53C4"/>
    <w:rsid w:val="00BB6797"/>
    <w:rsid w:val="00BD1C47"/>
    <w:rsid w:val="00BD20CF"/>
    <w:rsid w:val="00BE2456"/>
    <w:rsid w:val="00BE2E69"/>
    <w:rsid w:val="00BF4A98"/>
    <w:rsid w:val="00C0110B"/>
    <w:rsid w:val="00C11CE6"/>
    <w:rsid w:val="00C16F39"/>
    <w:rsid w:val="00C24AA8"/>
    <w:rsid w:val="00C25A35"/>
    <w:rsid w:val="00C337A6"/>
    <w:rsid w:val="00C707E5"/>
    <w:rsid w:val="00C715EF"/>
    <w:rsid w:val="00C737FB"/>
    <w:rsid w:val="00C81E3D"/>
    <w:rsid w:val="00C86449"/>
    <w:rsid w:val="00C87404"/>
    <w:rsid w:val="00C91270"/>
    <w:rsid w:val="00CA03EB"/>
    <w:rsid w:val="00CB2431"/>
    <w:rsid w:val="00CC44E0"/>
    <w:rsid w:val="00CC6BE0"/>
    <w:rsid w:val="00CD568D"/>
    <w:rsid w:val="00CD5E97"/>
    <w:rsid w:val="00D02AC9"/>
    <w:rsid w:val="00D06869"/>
    <w:rsid w:val="00D071D3"/>
    <w:rsid w:val="00D1100C"/>
    <w:rsid w:val="00D2332D"/>
    <w:rsid w:val="00D2780B"/>
    <w:rsid w:val="00D31D97"/>
    <w:rsid w:val="00D34D77"/>
    <w:rsid w:val="00D41B58"/>
    <w:rsid w:val="00D469B5"/>
    <w:rsid w:val="00D523D8"/>
    <w:rsid w:val="00D54FFC"/>
    <w:rsid w:val="00D6186D"/>
    <w:rsid w:val="00D62674"/>
    <w:rsid w:val="00D8436E"/>
    <w:rsid w:val="00D92D34"/>
    <w:rsid w:val="00D92D3D"/>
    <w:rsid w:val="00D939CD"/>
    <w:rsid w:val="00DA21F5"/>
    <w:rsid w:val="00DB3B28"/>
    <w:rsid w:val="00DB4670"/>
    <w:rsid w:val="00DB65F8"/>
    <w:rsid w:val="00DD25B3"/>
    <w:rsid w:val="00DD64B0"/>
    <w:rsid w:val="00DE720B"/>
    <w:rsid w:val="00DE7D74"/>
    <w:rsid w:val="00DF511F"/>
    <w:rsid w:val="00E006DD"/>
    <w:rsid w:val="00E10E0E"/>
    <w:rsid w:val="00E37BF2"/>
    <w:rsid w:val="00E56024"/>
    <w:rsid w:val="00E56214"/>
    <w:rsid w:val="00E57C6F"/>
    <w:rsid w:val="00E60AE4"/>
    <w:rsid w:val="00E631DE"/>
    <w:rsid w:val="00E66650"/>
    <w:rsid w:val="00E76125"/>
    <w:rsid w:val="00E80E0F"/>
    <w:rsid w:val="00E91050"/>
    <w:rsid w:val="00EA0334"/>
    <w:rsid w:val="00EA0499"/>
    <w:rsid w:val="00ED5DDF"/>
    <w:rsid w:val="00EE2287"/>
    <w:rsid w:val="00EE2856"/>
    <w:rsid w:val="00EE606F"/>
    <w:rsid w:val="00EF3214"/>
    <w:rsid w:val="00EF5762"/>
    <w:rsid w:val="00F01C18"/>
    <w:rsid w:val="00F0340E"/>
    <w:rsid w:val="00F12C05"/>
    <w:rsid w:val="00F21E9A"/>
    <w:rsid w:val="00F2312B"/>
    <w:rsid w:val="00F2340E"/>
    <w:rsid w:val="00F2351D"/>
    <w:rsid w:val="00F25BD0"/>
    <w:rsid w:val="00F41BF1"/>
    <w:rsid w:val="00F503E0"/>
    <w:rsid w:val="00F57D46"/>
    <w:rsid w:val="00F61734"/>
    <w:rsid w:val="00F665A8"/>
    <w:rsid w:val="00F829BA"/>
    <w:rsid w:val="00F90E15"/>
    <w:rsid w:val="00F96A10"/>
    <w:rsid w:val="00FA1C6E"/>
    <w:rsid w:val="00FA2F27"/>
    <w:rsid w:val="00FA4331"/>
    <w:rsid w:val="00FC531F"/>
    <w:rsid w:val="00FD1F01"/>
    <w:rsid w:val="00FE1DC0"/>
    <w:rsid w:val="00FE701E"/>
    <w:rsid w:val="00FF4B02"/>
    <w:rsid w:val="0F67671A"/>
    <w:rsid w:val="1F721245"/>
    <w:rsid w:val="278D5225"/>
    <w:rsid w:val="28C67E04"/>
    <w:rsid w:val="2A8E2B4F"/>
    <w:rsid w:val="2FFD7501"/>
    <w:rsid w:val="3C3666D1"/>
    <w:rsid w:val="3DA4153A"/>
    <w:rsid w:val="3E386FBD"/>
    <w:rsid w:val="4B7C20CB"/>
    <w:rsid w:val="59430B4A"/>
    <w:rsid w:val="67302237"/>
    <w:rsid w:val="692766BD"/>
    <w:rsid w:val="79802A9D"/>
    <w:rsid w:val="7EA770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ocument Map"/>
    <w:basedOn w:val="1"/>
    <w:link w:val="12"/>
    <w:semiHidden/>
    <w:unhideWhenUsed/>
    <w:qFormat/>
    <w:uiPriority w:val="99"/>
    <w:rPr>
      <w:rFonts w:ascii="宋体" w:eastAsia="宋体"/>
      <w:sz w:val="18"/>
      <w:szCs w:val="18"/>
    </w:rPr>
  </w:style>
  <w:style w:type="paragraph" w:styleId="3">
    <w:name w:val="Balloon Text"/>
    <w:basedOn w:val="1"/>
    <w:link w:val="11"/>
    <w:semiHidden/>
    <w:unhideWhenUsed/>
    <w:qFormat/>
    <w:uiPriority w:val="99"/>
    <w:pPr>
      <w:spacing w:line="240" w:lineRule="auto"/>
    </w:pPr>
    <w:rPr>
      <w:sz w:val="18"/>
      <w:szCs w:val="18"/>
    </w:rPr>
  </w:style>
  <w:style w:type="paragraph" w:styleId="4">
    <w:name w:val="footer"/>
    <w:basedOn w:val="1"/>
    <w:link w:val="10"/>
    <w:semiHidden/>
    <w:unhideWhenUsed/>
    <w:qFormat/>
    <w:uiPriority w:val="99"/>
    <w:pPr>
      <w:tabs>
        <w:tab w:val="center" w:pos="4153"/>
        <w:tab w:val="right" w:pos="8306"/>
      </w:tabs>
      <w:snapToGrid w:val="0"/>
      <w:spacing w:line="240" w:lineRule="auto"/>
      <w:jc w:val="left"/>
    </w:pPr>
    <w:rPr>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 w:type="character" w:customStyle="1" w:styleId="11">
    <w:name w:val="批注框文本 Char"/>
    <w:basedOn w:val="8"/>
    <w:link w:val="3"/>
    <w:semiHidden/>
    <w:qFormat/>
    <w:uiPriority w:val="99"/>
    <w:rPr>
      <w:sz w:val="18"/>
      <w:szCs w:val="18"/>
    </w:rPr>
  </w:style>
  <w:style w:type="character" w:customStyle="1" w:styleId="12">
    <w:name w:val="文档结构图 Char"/>
    <w:basedOn w:val="8"/>
    <w:link w:val="2"/>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Pages>
  <Words>181</Words>
  <Characters>1036</Characters>
  <Lines>8</Lines>
  <Paragraphs>2</Paragraphs>
  <TotalTime>0</TotalTime>
  <ScaleCrop>false</ScaleCrop>
  <LinksUpToDate>false</LinksUpToDate>
  <CharactersWithSpaces>1215</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2022-11-07T01:43:00Z</dcterms:created>
  <dc:creator>朱乐</dc:creator>
  <cp:lastModifiedBy>赵琳</cp:lastModifiedBy>
  <dcterms:modified xsi:type="dcterms:W3CDTF">2022-11-30T02:35:17Z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